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547" w:rsidRPr="009003F5" w:rsidRDefault="00732547" w:rsidP="00732547">
      <w:pPr>
        <w:jc w:val="center"/>
        <w:rPr>
          <w:rFonts w:ascii="Century Schoolbook" w:hAnsi="Century Schoolbook"/>
          <w:b/>
          <w:szCs w:val="28"/>
        </w:rPr>
      </w:pPr>
      <w:bookmarkStart w:id="0" w:name="_Toc187167205"/>
      <w:bookmarkStart w:id="1" w:name="_Toc281392083"/>
      <w:r w:rsidRPr="009003F5">
        <w:rPr>
          <w:rFonts w:ascii="Century Schoolbook" w:hAnsi="Century Schoolbook"/>
          <w:b/>
          <w:szCs w:val="28"/>
        </w:rPr>
        <w:t xml:space="preserve">No. </w:t>
      </w:r>
      <w:r w:rsidRPr="009003F5">
        <w:rPr>
          <w:rFonts w:ascii="Century Schoolbook" w:hAnsi="Century Schoolbook"/>
          <w:b/>
          <w:szCs w:val="28"/>
        </w:rPr>
        <w:t>21</w:t>
      </w:r>
      <w:r w:rsidRPr="009003F5">
        <w:rPr>
          <w:rFonts w:ascii="Century Schoolbook" w:hAnsi="Century Schoolbook"/>
          <w:b/>
          <w:szCs w:val="28"/>
        </w:rPr>
        <w:t>-</w:t>
      </w:r>
      <w:r w:rsidRPr="009003F5">
        <w:rPr>
          <w:rFonts w:ascii="Century Schoolbook" w:hAnsi="Century Schoolbook"/>
          <w:b/>
          <w:szCs w:val="28"/>
        </w:rPr>
        <w:t>3787</w:t>
      </w:r>
    </w:p>
    <w:p w:rsidR="00732547" w:rsidRPr="009003F5" w:rsidRDefault="00732547" w:rsidP="00732547">
      <w:pPr>
        <w:jc w:val="center"/>
        <w:rPr>
          <w:rFonts w:ascii="Century Schoolbook" w:hAnsi="Century Schoolbook"/>
          <w:b/>
          <w:szCs w:val="28"/>
        </w:rPr>
      </w:pPr>
      <w:r w:rsidRPr="009003F5">
        <w:rPr>
          <w:rFonts w:ascii="Century Schoolbook" w:hAnsi="Century Schoolbook"/>
          <w:b/>
          <w:szCs w:val="28"/>
        </w:rPr>
        <w:t>___________________________</w:t>
      </w:r>
    </w:p>
    <w:p w:rsidR="00732547" w:rsidRPr="009003F5" w:rsidRDefault="00732547" w:rsidP="00732547">
      <w:pPr>
        <w:jc w:val="center"/>
        <w:rPr>
          <w:rFonts w:ascii="Century Schoolbook" w:hAnsi="Century Schoolbook"/>
          <w:b/>
          <w:szCs w:val="28"/>
        </w:rPr>
      </w:pPr>
    </w:p>
    <w:p w:rsidR="00732547" w:rsidRPr="009003F5" w:rsidRDefault="00732547" w:rsidP="00732547">
      <w:pPr>
        <w:jc w:val="center"/>
        <w:rPr>
          <w:rFonts w:ascii="Century Schoolbook" w:hAnsi="Century Schoolbook"/>
          <w:b/>
          <w:szCs w:val="28"/>
        </w:rPr>
      </w:pPr>
      <w:r w:rsidRPr="009003F5">
        <w:rPr>
          <w:rFonts w:ascii="Century Schoolbook" w:hAnsi="Century Schoolbook"/>
          <w:b/>
          <w:szCs w:val="28"/>
        </w:rPr>
        <w:t>IN THE UNITED STATES COURT OF APPEALS</w:t>
      </w:r>
    </w:p>
    <w:p w:rsidR="00732547" w:rsidRPr="009003F5" w:rsidRDefault="00732547" w:rsidP="00732547">
      <w:pPr>
        <w:jc w:val="center"/>
        <w:rPr>
          <w:rFonts w:ascii="Century Schoolbook" w:hAnsi="Century Schoolbook"/>
          <w:b/>
          <w:szCs w:val="28"/>
        </w:rPr>
      </w:pPr>
      <w:r w:rsidRPr="009003F5">
        <w:rPr>
          <w:rFonts w:ascii="Century Schoolbook" w:hAnsi="Century Schoolbook"/>
          <w:b/>
          <w:szCs w:val="28"/>
        </w:rPr>
        <w:t>FOR THE SIXTH CIRCUIT</w:t>
      </w:r>
    </w:p>
    <w:p w:rsidR="00732547" w:rsidRPr="009003F5" w:rsidRDefault="00732547" w:rsidP="00732547">
      <w:pPr>
        <w:jc w:val="center"/>
        <w:rPr>
          <w:rFonts w:ascii="Century Schoolbook" w:hAnsi="Century Schoolbook"/>
          <w:b/>
          <w:szCs w:val="28"/>
        </w:rPr>
      </w:pPr>
      <w:r w:rsidRPr="009003F5">
        <w:rPr>
          <w:rFonts w:ascii="Century Schoolbook" w:hAnsi="Century Schoolbook"/>
          <w:b/>
          <w:szCs w:val="28"/>
        </w:rPr>
        <w:t>___________________________</w:t>
      </w:r>
    </w:p>
    <w:p w:rsidR="00732547" w:rsidRPr="009003F5" w:rsidRDefault="00732547" w:rsidP="00732547">
      <w:pPr>
        <w:jc w:val="center"/>
        <w:rPr>
          <w:rFonts w:ascii="Century Schoolbook" w:hAnsi="Century Schoolbook"/>
          <w:b/>
          <w:szCs w:val="28"/>
        </w:rPr>
      </w:pPr>
    </w:p>
    <w:p w:rsidR="00732547" w:rsidRPr="009003F5" w:rsidRDefault="00732547" w:rsidP="00732547">
      <w:pPr>
        <w:jc w:val="center"/>
        <w:rPr>
          <w:rFonts w:ascii="Century Schoolbook" w:hAnsi="Century Schoolbook"/>
          <w:szCs w:val="28"/>
        </w:rPr>
      </w:pPr>
      <w:r w:rsidRPr="009003F5">
        <w:rPr>
          <w:rFonts w:ascii="Century Schoolbook" w:hAnsi="Century Schoolbook"/>
          <w:szCs w:val="28"/>
        </w:rPr>
        <w:t>STATE OF OHIO</w:t>
      </w:r>
      <w:r w:rsidRPr="009003F5">
        <w:rPr>
          <w:rFonts w:ascii="Century Schoolbook" w:hAnsi="Century Schoolbook"/>
          <w:szCs w:val="28"/>
        </w:rPr>
        <w:t>,</w:t>
      </w:r>
    </w:p>
    <w:p w:rsidR="00732547" w:rsidRPr="009003F5" w:rsidRDefault="00732547" w:rsidP="00732547">
      <w:pPr>
        <w:jc w:val="center"/>
        <w:rPr>
          <w:rFonts w:ascii="Century Schoolbook" w:hAnsi="Century Schoolbook"/>
          <w:i/>
          <w:szCs w:val="28"/>
          <w:lang w:val="fr-FR"/>
        </w:rPr>
      </w:pPr>
      <w:proofErr w:type="spellStart"/>
      <w:r w:rsidRPr="009003F5">
        <w:rPr>
          <w:rFonts w:ascii="Century Schoolbook" w:hAnsi="Century Schoolbook"/>
          <w:i/>
          <w:szCs w:val="28"/>
          <w:lang w:val="fr-FR"/>
        </w:rPr>
        <w:t>Plaintiff-Appellees</w:t>
      </w:r>
      <w:proofErr w:type="spellEnd"/>
      <w:r w:rsidRPr="009003F5">
        <w:rPr>
          <w:rFonts w:ascii="Century Schoolbook" w:hAnsi="Century Schoolbook"/>
          <w:i/>
          <w:szCs w:val="28"/>
          <w:lang w:val="fr-FR"/>
        </w:rPr>
        <w:t>,</w:t>
      </w:r>
    </w:p>
    <w:p w:rsidR="00732547" w:rsidRPr="009003F5" w:rsidRDefault="00732547" w:rsidP="00732547">
      <w:pPr>
        <w:jc w:val="right"/>
        <w:rPr>
          <w:rFonts w:ascii="Century Schoolbook" w:hAnsi="Century Schoolbook"/>
          <w:szCs w:val="28"/>
          <w:lang w:val="fr-FR"/>
        </w:rPr>
      </w:pPr>
    </w:p>
    <w:p w:rsidR="00732547" w:rsidRPr="009003F5" w:rsidRDefault="00732547" w:rsidP="00732547">
      <w:pPr>
        <w:jc w:val="center"/>
        <w:rPr>
          <w:rFonts w:ascii="Century Schoolbook" w:hAnsi="Century Schoolbook"/>
          <w:szCs w:val="28"/>
          <w:lang w:val="fr-FR"/>
        </w:rPr>
      </w:pPr>
      <w:r w:rsidRPr="009003F5">
        <w:rPr>
          <w:rFonts w:ascii="Century Schoolbook" w:hAnsi="Century Schoolbook"/>
          <w:szCs w:val="28"/>
          <w:lang w:val="fr-FR"/>
        </w:rPr>
        <w:t>v.</w:t>
      </w:r>
    </w:p>
    <w:p w:rsidR="00732547" w:rsidRPr="009003F5" w:rsidRDefault="00732547" w:rsidP="00732547">
      <w:pPr>
        <w:jc w:val="center"/>
        <w:rPr>
          <w:rFonts w:ascii="Century Schoolbook" w:hAnsi="Century Schoolbook"/>
          <w:b/>
          <w:szCs w:val="28"/>
          <w:lang w:val="fr-FR"/>
        </w:rPr>
      </w:pPr>
    </w:p>
    <w:p w:rsidR="00732547" w:rsidRPr="009003F5" w:rsidRDefault="00732547" w:rsidP="00732547">
      <w:pPr>
        <w:jc w:val="center"/>
        <w:rPr>
          <w:rFonts w:ascii="Century Schoolbook" w:hAnsi="Century Schoolbook"/>
          <w:szCs w:val="28"/>
          <w:lang w:val="fr-FR"/>
        </w:rPr>
      </w:pPr>
      <w:r w:rsidRPr="009003F5">
        <w:rPr>
          <w:rFonts w:ascii="Century Schoolbook" w:hAnsi="Century Schoolbook"/>
          <w:szCs w:val="28"/>
          <w:lang w:val="fr-FR"/>
        </w:rPr>
        <w:t>JANET YELLEN, ET AL.</w:t>
      </w:r>
      <w:r w:rsidRPr="009003F5">
        <w:rPr>
          <w:rFonts w:ascii="Century Schoolbook" w:hAnsi="Century Schoolbook"/>
          <w:szCs w:val="28"/>
          <w:lang w:val="fr-FR"/>
        </w:rPr>
        <w:t>,</w:t>
      </w:r>
    </w:p>
    <w:p w:rsidR="00732547" w:rsidRPr="009003F5" w:rsidRDefault="00732547" w:rsidP="00732547">
      <w:pPr>
        <w:jc w:val="center"/>
        <w:rPr>
          <w:rFonts w:ascii="Century Schoolbook" w:hAnsi="Century Schoolbook"/>
          <w:i/>
          <w:szCs w:val="28"/>
          <w:lang w:val="fr-FR"/>
        </w:rPr>
      </w:pPr>
      <w:proofErr w:type="spellStart"/>
      <w:r w:rsidRPr="009003F5">
        <w:rPr>
          <w:rFonts w:ascii="Century Schoolbook" w:hAnsi="Century Schoolbook"/>
          <w:i/>
          <w:szCs w:val="28"/>
          <w:lang w:val="fr-FR"/>
        </w:rPr>
        <w:t>Defendant-</w:t>
      </w:r>
      <w:r w:rsidRPr="009003F5">
        <w:rPr>
          <w:rFonts w:ascii="Century Schoolbook" w:hAnsi="Century Schoolbook"/>
          <w:i/>
          <w:szCs w:val="28"/>
          <w:lang w:val="fr-FR"/>
        </w:rPr>
        <w:t>Appellants</w:t>
      </w:r>
      <w:proofErr w:type="spellEnd"/>
      <w:r w:rsidRPr="009003F5">
        <w:rPr>
          <w:rFonts w:ascii="Century Schoolbook" w:hAnsi="Century Schoolbook"/>
          <w:i/>
          <w:szCs w:val="28"/>
          <w:lang w:val="fr-FR"/>
        </w:rPr>
        <w:t>.</w:t>
      </w:r>
    </w:p>
    <w:p w:rsidR="00732547" w:rsidRPr="009003F5" w:rsidRDefault="009003F5" w:rsidP="009003F5">
      <w:pPr>
        <w:pBdr>
          <w:bottom w:val="single" w:sz="12" w:space="1" w:color="auto"/>
        </w:pBdr>
        <w:tabs>
          <w:tab w:val="left" w:pos="5496"/>
        </w:tabs>
        <w:rPr>
          <w:rFonts w:ascii="Century Schoolbook" w:hAnsi="Century Schoolbook"/>
          <w:i/>
          <w:szCs w:val="28"/>
        </w:rPr>
      </w:pPr>
      <w:r w:rsidRPr="009003F5">
        <w:rPr>
          <w:rFonts w:ascii="Century Schoolbook" w:hAnsi="Century Schoolbook"/>
          <w:i/>
          <w:szCs w:val="28"/>
        </w:rPr>
        <w:tab/>
      </w:r>
    </w:p>
    <w:p w:rsidR="00732547" w:rsidRPr="009003F5" w:rsidRDefault="00732547" w:rsidP="00732547">
      <w:pPr>
        <w:jc w:val="center"/>
        <w:rPr>
          <w:rFonts w:ascii="Century Schoolbook" w:hAnsi="Century Schoolbook"/>
          <w:b/>
          <w:szCs w:val="28"/>
        </w:rPr>
      </w:pPr>
    </w:p>
    <w:p w:rsidR="00732547" w:rsidRPr="009003F5" w:rsidRDefault="00732547" w:rsidP="00732547">
      <w:pPr>
        <w:jc w:val="center"/>
        <w:rPr>
          <w:rFonts w:ascii="Century Schoolbook" w:hAnsi="Century Schoolbook"/>
          <w:szCs w:val="28"/>
        </w:rPr>
      </w:pPr>
      <w:r w:rsidRPr="009003F5">
        <w:rPr>
          <w:rFonts w:ascii="Century Schoolbook" w:hAnsi="Century Schoolbook"/>
          <w:szCs w:val="28"/>
        </w:rPr>
        <w:t>On Appeal from the United States District Court</w:t>
      </w:r>
    </w:p>
    <w:p w:rsidR="00732547" w:rsidRPr="009003F5" w:rsidRDefault="00732547" w:rsidP="00732547">
      <w:pPr>
        <w:jc w:val="center"/>
        <w:rPr>
          <w:rFonts w:ascii="Century Schoolbook" w:hAnsi="Century Schoolbook"/>
          <w:szCs w:val="28"/>
        </w:rPr>
      </w:pPr>
      <w:r w:rsidRPr="009003F5">
        <w:rPr>
          <w:rFonts w:ascii="Century Schoolbook" w:hAnsi="Century Schoolbook"/>
          <w:szCs w:val="28"/>
        </w:rPr>
        <w:t xml:space="preserve">For the </w:t>
      </w:r>
      <w:r w:rsidRPr="009003F5">
        <w:rPr>
          <w:rFonts w:ascii="Century Schoolbook" w:hAnsi="Century Schoolbook"/>
          <w:szCs w:val="28"/>
        </w:rPr>
        <w:t>Southern</w:t>
      </w:r>
      <w:r w:rsidRPr="009003F5">
        <w:rPr>
          <w:rFonts w:ascii="Century Schoolbook" w:hAnsi="Century Schoolbook"/>
          <w:szCs w:val="28"/>
        </w:rPr>
        <w:t xml:space="preserve"> District of Ohio</w:t>
      </w:r>
    </w:p>
    <w:p w:rsidR="00732547" w:rsidRPr="009003F5" w:rsidRDefault="00732547" w:rsidP="00732547">
      <w:pPr>
        <w:jc w:val="center"/>
        <w:rPr>
          <w:rFonts w:ascii="Century Schoolbook" w:hAnsi="Century Schoolbook"/>
          <w:szCs w:val="28"/>
        </w:rPr>
      </w:pPr>
      <w:r w:rsidRPr="009003F5">
        <w:rPr>
          <w:rFonts w:ascii="Century Schoolbook" w:hAnsi="Century Schoolbook"/>
          <w:szCs w:val="28"/>
        </w:rPr>
        <w:t xml:space="preserve"> No. 1:</w:t>
      </w:r>
      <w:r w:rsidRPr="009003F5">
        <w:rPr>
          <w:rFonts w:ascii="Century Schoolbook" w:hAnsi="Century Schoolbook"/>
          <w:szCs w:val="28"/>
        </w:rPr>
        <w:t>21-cv-00181-DRC</w:t>
      </w:r>
    </w:p>
    <w:p w:rsidR="009003F5" w:rsidRPr="009003F5" w:rsidRDefault="009003F5" w:rsidP="009003F5">
      <w:pPr>
        <w:pBdr>
          <w:bottom w:val="single" w:sz="12" w:space="1" w:color="auto"/>
        </w:pBdr>
        <w:tabs>
          <w:tab w:val="left" w:pos="5496"/>
        </w:tabs>
        <w:rPr>
          <w:rFonts w:ascii="Century Schoolbook" w:hAnsi="Century Schoolbook"/>
          <w:i/>
          <w:szCs w:val="28"/>
        </w:rPr>
      </w:pPr>
    </w:p>
    <w:p w:rsidR="00732547" w:rsidRPr="009003F5" w:rsidRDefault="00732547" w:rsidP="00732547">
      <w:pPr>
        <w:jc w:val="right"/>
        <w:rPr>
          <w:rFonts w:ascii="Century Schoolbook" w:hAnsi="Century Schoolbook"/>
          <w:b/>
          <w:i/>
          <w:szCs w:val="28"/>
        </w:rPr>
      </w:pPr>
    </w:p>
    <w:p w:rsidR="009003F5" w:rsidRPr="009003F5" w:rsidRDefault="009003F5" w:rsidP="009003F5">
      <w:pPr>
        <w:jc w:val="center"/>
        <w:rPr>
          <w:rFonts w:ascii="Century Schoolbook" w:hAnsi="Century Schoolbook"/>
          <w:b/>
          <w:szCs w:val="28"/>
        </w:rPr>
      </w:pPr>
      <w:r w:rsidRPr="009003F5">
        <w:rPr>
          <w:rFonts w:ascii="Century Schoolbook" w:hAnsi="Century Schoolbook"/>
          <w:b/>
          <w:szCs w:val="28"/>
        </w:rPr>
        <w:t xml:space="preserve">BRIEF OF </w:t>
      </w:r>
      <w:r w:rsidRPr="009003F5">
        <w:rPr>
          <w:rFonts w:ascii="Century Schoolbook" w:hAnsi="Century Schoolbook"/>
          <w:b/>
          <w:i/>
          <w:szCs w:val="28"/>
        </w:rPr>
        <w:t xml:space="preserve">AMICI CURIAE </w:t>
      </w:r>
      <w:r w:rsidRPr="009003F5">
        <w:rPr>
          <w:rFonts w:ascii="Century Schoolbook" w:hAnsi="Century Schoolbook"/>
          <w:b/>
          <w:szCs w:val="28"/>
        </w:rPr>
        <w:t>STATES OF ARIZONA</w:t>
      </w:r>
      <w:r w:rsidRPr="009003F5">
        <w:rPr>
          <w:rFonts w:ascii="Century Schoolbook" w:hAnsi="Century Schoolbook"/>
          <w:b/>
          <w:szCs w:val="28"/>
        </w:rPr>
        <w:t xml:space="preserve"> [[</w:t>
      </w:r>
      <w:r w:rsidRPr="009003F5">
        <w:rPr>
          <w:rFonts w:ascii="Century Schoolbook" w:hAnsi="Century Schoolbook"/>
          <w:b/>
          <w:szCs w:val="28"/>
          <w:highlight w:val="yellow"/>
        </w:rPr>
        <w:t>AND LIST</w:t>
      </w:r>
      <w:r w:rsidRPr="009003F5">
        <w:rPr>
          <w:rFonts w:ascii="Century Schoolbook" w:hAnsi="Century Schoolbook"/>
          <w:b/>
          <w:szCs w:val="28"/>
        </w:rPr>
        <w:t>]]</w:t>
      </w:r>
      <w:r w:rsidRPr="009003F5">
        <w:rPr>
          <w:rFonts w:ascii="Century Schoolbook" w:hAnsi="Century Schoolbook"/>
          <w:b/>
          <w:szCs w:val="28"/>
        </w:rPr>
        <w:t xml:space="preserve"> </w:t>
      </w:r>
    </w:p>
    <w:p w:rsidR="00732547" w:rsidRPr="009003F5" w:rsidRDefault="00732547" w:rsidP="00732547">
      <w:pPr>
        <w:pBdr>
          <w:bottom w:val="single" w:sz="12" w:space="1" w:color="auto"/>
        </w:pBdr>
        <w:jc w:val="center"/>
        <w:rPr>
          <w:rFonts w:ascii="Century Schoolbook" w:hAnsi="Century Schoolbook"/>
          <w:b/>
          <w:szCs w:val="28"/>
        </w:rPr>
      </w:pPr>
    </w:p>
    <w:p w:rsidR="00732547" w:rsidRPr="009003F5" w:rsidRDefault="00732547" w:rsidP="00732547">
      <w:pPr>
        <w:jc w:val="right"/>
        <w:rPr>
          <w:rFonts w:ascii="Century Schoolbook" w:hAnsi="Century Schoolbook"/>
          <w:sz w:val="16"/>
          <w:szCs w:val="28"/>
          <w:highlight w:val="yellow"/>
        </w:rPr>
      </w:pPr>
    </w:p>
    <w:p w:rsidR="009003F5" w:rsidRPr="009003F5" w:rsidRDefault="009003F5" w:rsidP="009003F5">
      <w:pPr>
        <w:ind w:left="4320" w:firstLine="720"/>
        <w:rPr>
          <w:rFonts w:ascii="Century Schoolbook" w:hAnsi="Century Schoolbook"/>
          <w:szCs w:val="28"/>
        </w:rPr>
      </w:pPr>
      <w:r w:rsidRPr="009003F5">
        <w:rPr>
          <w:rFonts w:ascii="Century Schoolbook" w:hAnsi="Century Schoolbook"/>
          <w:szCs w:val="28"/>
        </w:rPr>
        <w:t>MARK BRNOVICH</w:t>
      </w:r>
    </w:p>
    <w:p w:rsidR="009003F5" w:rsidRPr="009003F5" w:rsidRDefault="009003F5" w:rsidP="009003F5">
      <w:pPr>
        <w:ind w:left="4320" w:firstLine="720"/>
        <w:rPr>
          <w:rFonts w:ascii="Century Schoolbook" w:hAnsi="Century Schoolbook"/>
          <w:szCs w:val="28"/>
        </w:rPr>
      </w:pPr>
      <w:r w:rsidRPr="009003F5">
        <w:rPr>
          <w:rFonts w:ascii="Century Schoolbook" w:hAnsi="Century Schoolbook"/>
          <w:szCs w:val="28"/>
        </w:rPr>
        <w:t>ATTORNEY GENERAL</w:t>
      </w:r>
    </w:p>
    <w:p w:rsidR="009003F5" w:rsidRPr="0045295C" w:rsidRDefault="009003F5" w:rsidP="009003F5">
      <w:pPr>
        <w:widowControl w:val="0"/>
        <w:ind w:left="4320" w:firstLine="720"/>
        <w:rPr>
          <w:rFonts w:ascii="Century Schoolbook" w:hAnsi="Century Schoolbook"/>
          <w:szCs w:val="28"/>
        </w:rPr>
      </w:pP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t>Drew C. Ensign</w:t>
      </w:r>
    </w:p>
    <w:p w:rsidR="009003F5" w:rsidRPr="0045295C" w:rsidRDefault="009003F5" w:rsidP="009003F5">
      <w:pPr>
        <w:widowControl w:val="0"/>
        <w:ind w:left="4320" w:firstLine="720"/>
        <w:rPr>
          <w:rFonts w:ascii="Century Schoolbook" w:hAnsi="Century Schoolbook"/>
          <w:szCs w:val="28"/>
        </w:rPr>
      </w:pPr>
      <w:r w:rsidRPr="0045295C">
        <w:rPr>
          <w:rFonts w:ascii="Century Schoolbook" w:hAnsi="Century Schoolbook"/>
          <w:i/>
          <w:szCs w:val="28"/>
        </w:rPr>
        <w:t xml:space="preserve">   Deputy Solicitor General</w:t>
      </w:r>
      <w:r w:rsidRPr="0045295C">
        <w:rPr>
          <w:rFonts w:ascii="Century Schoolbook" w:hAnsi="Century Schoolbook"/>
          <w:szCs w:val="28"/>
        </w:rPr>
        <w:t xml:space="preserve"> </w:t>
      </w:r>
    </w:p>
    <w:p w:rsidR="009003F5" w:rsidRPr="0045295C" w:rsidRDefault="009003F5" w:rsidP="009003F5">
      <w:pPr>
        <w:widowControl w:val="0"/>
        <w:tabs>
          <w:tab w:val="right" w:pos="0"/>
        </w:tabs>
        <w:rPr>
          <w:rFonts w:ascii="Century Schoolbook" w:hAnsi="Century Schoolbook"/>
          <w:szCs w:val="28"/>
        </w:rPr>
      </w:pP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t>2005 N. Central Avenue</w:t>
      </w:r>
    </w:p>
    <w:p w:rsidR="009003F5" w:rsidRPr="0045295C" w:rsidRDefault="009003F5" w:rsidP="009003F5">
      <w:pPr>
        <w:widowControl w:val="0"/>
        <w:ind w:left="4320" w:right="-120" w:firstLine="720"/>
        <w:rPr>
          <w:rFonts w:ascii="Century Schoolbook" w:hAnsi="Century Schoolbook"/>
          <w:szCs w:val="28"/>
        </w:rPr>
      </w:pPr>
      <w:r w:rsidRPr="0045295C">
        <w:rPr>
          <w:rFonts w:ascii="Century Schoolbook" w:hAnsi="Century Schoolbook"/>
          <w:szCs w:val="28"/>
        </w:rPr>
        <w:t>Phoenix, AZ 85004</w:t>
      </w:r>
    </w:p>
    <w:p w:rsidR="009003F5" w:rsidRPr="0045295C" w:rsidRDefault="009003F5" w:rsidP="009003F5">
      <w:pPr>
        <w:widowControl w:val="0"/>
        <w:ind w:left="4320" w:firstLine="720"/>
        <w:rPr>
          <w:rFonts w:ascii="Century Schoolbook" w:hAnsi="Century Schoolbook"/>
          <w:i/>
          <w:szCs w:val="28"/>
        </w:rPr>
      </w:pPr>
      <w:r w:rsidRPr="0045295C">
        <w:rPr>
          <w:rFonts w:ascii="Century Schoolbook" w:hAnsi="Century Schoolbook"/>
          <w:szCs w:val="28"/>
        </w:rPr>
        <w:t>Telephone: (602) 542-5025</w:t>
      </w:r>
    </w:p>
    <w:p w:rsidR="009003F5" w:rsidRPr="0045295C" w:rsidRDefault="009003F5" w:rsidP="009003F5">
      <w:pPr>
        <w:widowControl w:val="0"/>
        <w:ind w:left="4320" w:firstLine="720"/>
        <w:rPr>
          <w:rFonts w:ascii="Century Schoolbook" w:hAnsi="Century Schoolbook"/>
          <w:szCs w:val="28"/>
        </w:rPr>
      </w:pPr>
      <w:r w:rsidRPr="0045295C">
        <w:rPr>
          <w:rFonts w:ascii="Century Schoolbook" w:hAnsi="Century Schoolbook"/>
          <w:szCs w:val="28"/>
        </w:rPr>
        <w:t>Facsimile: (602) 542-4377</w:t>
      </w:r>
      <w:r w:rsidRPr="0045295C">
        <w:rPr>
          <w:rFonts w:ascii="Century Schoolbook" w:hAnsi="Century Schoolbook"/>
          <w:szCs w:val="28"/>
        </w:rPr>
        <w:tab/>
      </w:r>
    </w:p>
    <w:p w:rsidR="009003F5" w:rsidRPr="0045295C" w:rsidRDefault="009003F5" w:rsidP="009003F5">
      <w:pPr>
        <w:widowControl w:val="0"/>
        <w:tabs>
          <w:tab w:val="right" w:pos="0"/>
        </w:tabs>
        <w:rPr>
          <w:rFonts w:ascii="Century Schoolbook" w:hAnsi="Century Schoolbook"/>
          <w:szCs w:val="28"/>
        </w:rPr>
      </w:pPr>
      <w:r w:rsidRPr="0045295C">
        <w:rPr>
          <w:rFonts w:ascii="Century Schoolbook" w:hAnsi="Century Schoolbook"/>
          <w:i/>
          <w:szCs w:val="28"/>
        </w:rPr>
        <w:tab/>
      </w:r>
      <w:r w:rsidRPr="0045295C">
        <w:rPr>
          <w:rFonts w:ascii="Century Schoolbook" w:hAnsi="Century Schoolbook"/>
          <w:i/>
          <w:szCs w:val="28"/>
        </w:rPr>
        <w:tab/>
      </w:r>
      <w:r w:rsidRPr="0045295C">
        <w:rPr>
          <w:rFonts w:ascii="Century Schoolbook" w:hAnsi="Century Schoolbook"/>
          <w:i/>
          <w:szCs w:val="28"/>
        </w:rPr>
        <w:tab/>
      </w:r>
      <w:r w:rsidRPr="0045295C">
        <w:rPr>
          <w:rFonts w:ascii="Century Schoolbook" w:hAnsi="Century Schoolbook"/>
          <w:i/>
          <w:szCs w:val="28"/>
        </w:rPr>
        <w:tab/>
      </w:r>
      <w:r w:rsidRPr="0045295C">
        <w:rPr>
          <w:rFonts w:ascii="Century Schoolbook" w:hAnsi="Century Schoolbook"/>
          <w:i/>
          <w:szCs w:val="28"/>
        </w:rPr>
        <w:tab/>
      </w:r>
      <w:r w:rsidRPr="0045295C">
        <w:rPr>
          <w:rFonts w:ascii="Century Schoolbook" w:hAnsi="Century Schoolbook"/>
          <w:i/>
          <w:szCs w:val="28"/>
        </w:rPr>
        <w:tab/>
      </w:r>
      <w:r w:rsidRPr="0045295C">
        <w:rPr>
          <w:rFonts w:ascii="Century Schoolbook" w:hAnsi="Century Schoolbook"/>
          <w:i/>
          <w:szCs w:val="28"/>
        </w:rPr>
        <w:tab/>
        <w:t>Counsel for the State of Arizona</w:t>
      </w:r>
      <w:r w:rsidRPr="0045295C">
        <w:rPr>
          <w:rFonts w:ascii="Century Schoolbook" w:hAnsi="Century Schoolbook"/>
          <w:i/>
          <w:szCs w:val="28"/>
        </w:rPr>
        <w:tab/>
      </w:r>
    </w:p>
    <w:p w:rsidR="009003F5" w:rsidRDefault="009003F5" w:rsidP="009003F5">
      <w:pPr>
        <w:widowControl w:val="0"/>
        <w:tabs>
          <w:tab w:val="right" w:pos="0"/>
        </w:tabs>
        <w:rPr>
          <w:rFonts w:ascii="Century Schoolbook" w:hAnsi="Century Schoolbook"/>
          <w:szCs w:val="28"/>
        </w:rPr>
      </w:pPr>
      <w:r w:rsidRPr="0045295C">
        <w:rPr>
          <w:rFonts w:ascii="Century Schoolbook" w:hAnsi="Century Schoolbook"/>
          <w:szCs w:val="28"/>
        </w:rPr>
        <w:t xml:space="preserve">Dated:  </w:t>
      </w:r>
      <w:r>
        <w:rPr>
          <w:rFonts w:ascii="Century Schoolbook" w:hAnsi="Century Schoolbook"/>
          <w:szCs w:val="28"/>
        </w:rPr>
        <w:t>October 19</w:t>
      </w:r>
      <w:r>
        <w:rPr>
          <w:rFonts w:ascii="Century Schoolbook" w:hAnsi="Century Schoolbook"/>
          <w:szCs w:val="28"/>
        </w:rPr>
        <w:t>, 2021</w:t>
      </w:r>
    </w:p>
    <w:p w:rsidR="009003F5" w:rsidRDefault="009003F5">
      <w:pPr>
        <w:rPr>
          <w:rFonts w:ascii="Century Schoolbook" w:hAnsi="Century Schoolbook"/>
          <w:b/>
        </w:rPr>
      </w:pPr>
    </w:p>
    <w:p w:rsidR="009003F5" w:rsidRPr="009003F5" w:rsidRDefault="009003F5" w:rsidP="009003F5">
      <w:pPr>
        <w:jc w:val="center"/>
        <w:rPr>
          <w:rFonts w:ascii="Century Schoolbook" w:hAnsi="Century Schoolbook"/>
        </w:rPr>
      </w:pPr>
      <w:r w:rsidRPr="009003F5">
        <w:rPr>
          <w:rFonts w:ascii="Century Schoolbook" w:hAnsi="Century Schoolbook"/>
        </w:rPr>
        <w:t>(additional counsel listed on signature page)</w:t>
      </w:r>
    </w:p>
    <w:p w:rsidR="009003F5" w:rsidRDefault="009003F5">
      <w:pPr>
        <w:rPr>
          <w:rFonts w:ascii="Century Schoolbook" w:hAnsi="Century Schoolbook"/>
          <w:b/>
        </w:rPr>
      </w:pPr>
      <w:r>
        <w:rPr>
          <w:rFonts w:ascii="Century Schoolbook" w:hAnsi="Century Schoolbook"/>
          <w:b/>
        </w:rPr>
        <w:br w:type="page"/>
      </w:r>
    </w:p>
    <w:p w:rsidR="00C759B7" w:rsidRPr="0045295C" w:rsidRDefault="00C759B7" w:rsidP="00BA0484">
      <w:pPr>
        <w:spacing w:line="480" w:lineRule="auto"/>
        <w:jc w:val="center"/>
        <w:rPr>
          <w:rFonts w:ascii="Century Schoolbook" w:hAnsi="Century Schoolbook"/>
          <w:b/>
        </w:rPr>
      </w:pPr>
      <w:r w:rsidRPr="0045295C">
        <w:rPr>
          <w:rFonts w:ascii="Century Schoolbook" w:hAnsi="Century Schoolbook"/>
          <w:b/>
        </w:rPr>
        <w:t>TABLE OF CONTENTS</w:t>
      </w:r>
      <w:bookmarkEnd w:id="0"/>
      <w:bookmarkEnd w:id="1"/>
    </w:p>
    <w:p w:rsidR="00C759B7" w:rsidRPr="0045295C" w:rsidRDefault="00C759B7" w:rsidP="009609BB">
      <w:pPr>
        <w:pStyle w:val="BodyText"/>
        <w:tabs>
          <w:tab w:val="right" w:leader="dot" w:pos="9360"/>
        </w:tabs>
        <w:ind w:firstLine="0"/>
        <w:jc w:val="right"/>
        <w:rPr>
          <w:rFonts w:ascii="Century Schoolbook" w:hAnsi="Century Schoolbook"/>
          <w:b/>
          <w:szCs w:val="28"/>
        </w:rPr>
      </w:pPr>
      <w:r w:rsidRPr="0045295C">
        <w:rPr>
          <w:rFonts w:ascii="Century Schoolbook" w:hAnsi="Century Schoolbook"/>
          <w:b/>
          <w:szCs w:val="28"/>
        </w:rPr>
        <w:t>Page</w:t>
      </w:r>
    </w:p>
    <w:p w:rsidR="00D53BA2" w:rsidRPr="0045295C" w:rsidRDefault="00D53BA2" w:rsidP="001C6263">
      <w:pPr>
        <w:pStyle w:val="CenteredforTOC"/>
        <w:jc w:val="left"/>
        <w:rPr>
          <w:rFonts w:ascii="Century Schoolbook" w:hAnsi="Century Schoolbook"/>
        </w:rPr>
        <w:sectPr w:rsidR="00D53BA2" w:rsidRPr="0045295C" w:rsidSect="009A7A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cols w:space="720"/>
          <w:titlePg/>
          <w:docGrid w:linePitch="381"/>
        </w:sectPr>
      </w:pPr>
    </w:p>
    <w:p w:rsidR="00C759B7" w:rsidRDefault="00C759B7" w:rsidP="0027249C">
      <w:pPr>
        <w:pStyle w:val="Title"/>
      </w:pPr>
      <w:bookmarkStart w:id="2" w:name="_Toc187167206"/>
      <w:bookmarkStart w:id="3" w:name="_Toc281392084"/>
      <w:bookmarkStart w:id="4" w:name="_Toc310239088"/>
      <w:bookmarkStart w:id="5" w:name="_Toc326651135"/>
      <w:bookmarkStart w:id="6" w:name="_Toc326778364"/>
      <w:bookmarkStart w:id="7" w:name="_Toc529220051"/>
      <w:bookmarkStart w:id="8" w:name="_Toc77693843"/>
      <w:r w:rsidRPr="0045295C">
        <w:t>TABLE OF AUTHORITIES</w:t>
      </w:r>
      <w:bookmarkEnd w:id="2"/>
      <w:bookmarkEnd w:id="3"/>
      <w:bookmarkEnd w:id="4"/>
      <w:bookmarkEnd w:id="5"/>
      <w:bookmarkEnd w:id="6"/>
      <w:bookmarkEnd w:id="7"/>
      <w:bookmarkEnd w:id="8"/>
    </w:p>
    <w:p w:rsidR="0027249C" w:rsidRPr="0045295C" w:rsidRDefault="0027249C" w:rsidP="0027249C">
      <w:pPr>
        <w:pStyle w:val="BodyText"/>
        <w:tabs>
          <w:tab w:val="right" w:leader="dot" w:pos="9360"/>
        </w:tabs>
        <w:spacing w:after="0"/>
        <w:ind w:firstLine="0"/>
        <w:jc w:val="right"/>
        <w:rPr>
          <w:rFonts w:ascii="Century Schoolbook" w:hAnsi="Century Schoolbook"/>
          <w:b/>
          <w:szCs w:val="28"/>
        </w:rPr>
      </w:pPr>
      <w:r w:rsidRPr="0045295C">
        <w:rPr>
          <w:rFonts w:ascii="Century Schoolbook" w:hAnsi="Century Schoolbook"/>
          <w:b/>
          <w:szCs w:val="28"/>
        </w:rPr>
        <w:t>Page</w:t>
      </w:r>
    </w:p>
    <w:p w:rsidR="00661C6E" w:rsidRPr="007453B8" w:rsidRDefault="0097297C">
      <w:pPr>
        <w:pStyle w:val="TOAHeading"/>
        <w:tabs>
          <w:tab w:val="right" w:leader="dot" w:pos="9350"/>
        </w:tabs>
        <w:rPr>
          <w:rFonts w:ascii="Calibri" w:hAnsi="Calibri" w:cs="Times New Roman"/>
          <w:b w:val="0"/>
          <w:bCs w:val="0"/>
          <w:noProof/>
        </w:rPr>
      </w:pPr>
      <w:r>
        <w:fldChar w:fldCharType="begin"/>
      </w:r>
      <w:r>
        <w:instrText xml:space="preserve"> TOA \h \c "1" \p </w:instrText>
      </w:r>
      <w:r>
        <w:fldChar w:fldCharType="separate"/>
      </w:r>
      <w:r w:rsidR="00661C6E">
        <w:rPr>
          <w:noProof/>
        </w:rPr>
        <w:t>Cases</w:t>
      </w:r>
    </w:p>
    <w:p w:rsidR="00661C6E" w:rsidRDefault="00661C6E" w:rsidP="009003F5">
      <w:pPr>
        <w:pStyle w:val="TableofAuthorities"/>
        <w:tabs>
          <w:tab w:val="right" w:leader="dot" w:pos="9350"/>
        </w:tabs>
        <w:rPr>
          <w:i/>
          <w:noProof/>
        </w:rPr>
      </w:pPr>
    </w:p>
    <w:p w:rsidR="009003F5" w:rsidRPr="009003F5" w:rsidRDefault="009003F5" w:rsidP="009003F5"/>
    <w:p w:rsidR="00BE0C39" w:rsidRDefault="0097297C" w:rsidP="00800D94">
      <w:pPr>
        <w:pStyle w:val="TOAHeading"/>
        <w:tabs>
          <w:tab w:val="right" w:leader="dot" w:pos="9350"/>
        </w:tabs>
        <w:spacing w:line="320" w:lineRule="exact"/>
        <w:ind w:right="576"/>
      </w:pPr>
      <w:r>
        <w:fldChar w:fldCharType="end"/>
      </w:r>
    </w:p>
    <w:p w:rsidR="004D3E07" w:rsidRPr="00BB201B" w:rsidRDefault="004D3E07" w:rsidP="00800D94">
      <w:pPr>
        <w:pStyle w:val="TOAHeading"/>
        <w:tabs>
          <w:tab w:val="right" w:leader="dot" w:pos="9350"/>
        </w:tabs>
        <w:spacing w:line="320" w:lineRule="exact"/>
        <w:ind w:right="576"/>
        <w:rPr>
          <w:rFonts w:ascii="Calibri" w:hAnsi="Calibri" w:cs="Times New Roman"/>
          <w:b w:val="0"/>
          <w:bCs w:val="0"/>
          <w:noProof/>
          <w:sz w:val="22"/>
          <w:szCs w:val="22"/>
        </w:rPr>
      </w:pPr>
      <w:r>
        <w:fldChar w:fldCharType="begin"/>
      </w:r>
      <w:r>
        <w:instrText xml:space="preserve"> TOA \h \c "2" \p </w:instrText>
      </w:r>
      <w:r>
        <w:fldChar w:fldCharType="separate"/>
      </w:r>
      <w:r>
        <w:rPr>
          <w:noProof/>
        </w:rPr>
        <w:t>Statutes</w:t>
      </w:r>
    </w:p>
    <w:p w:rsidR="004D3E07" w:rsidRDefault="004D3E07" w:rsidP="00800D94">
      <w:pPr>
        <w:pStyle w:val="TableofAuthorities"/>
        <w:tabs>
          <w:tab w:val="right" w:leader="dot" w:pos="9350"/>
        </w:tabs>
        <w:spacing w:line="320" w:lineRule="exact"/>
        <w:ind w:right="576"/>
        <w:rPr>
          <w:noProof/>
        </w:rPr>
      </w:pPr>
      <w:r>
        <w:rPr>
          <w:noProof/>
        </w:rPr>
        <w:tab/>
      </w:r>
    </w:p>
    <w:p w:rsidR="00BE0C39" w:rsidRDefault="004D3E07">
      <w:pPr>
        <w:pStyle w:val="TOAHeading"/>
        <w:tabs>
          <w:tab w:val="right" w:leader="dot" w:pos="9350"/>
        </w:tabs>
      </w:pPr>
      <w:r>
        <w:fldChar w:fldCharType="end"/>
      </w:r>
    </w:p>
    <w:p w:rsidR="009609BB" w:rsidRPr="00BB201B" w:rsidRDefault="0097297C">
      <w:pPr>
        <w:pStyle w:val="TOAHeading"/>
        <w:tabs>
          <w:tab w:val="right" w:leader="dot" w:pos="9350"/>
        </w:tabs>
        <w:rPr>
          <w:rFonts w:ascii="Calibri" w:hAnsi="Calibri" w:cs="Times New Roman"/>
          <w:b w:val="0"/>
          <w:bCs w:val="0"/>
          <w:noProof/>
          <w:sz w:val="22"/>
          <w:szCs w:val="22"/>
        </w:rPr>
      </w:pPr>
      <w:r>
        <w:fldChar w:fldCharType="begin"/>
      </w:r>
      <w:r>
        <w:instrText xml:space="preserve"> TOA \h \c "3" \p </w:instrText>
      </w:r>
      <w:r>
        <w:fldChar w:fldCharType="separate"/>
      </w:r>
      <w:r w:rsidR="009609BB">
        <w:rPr>
          <w:noProof/>
        </w:rPr>
        <w:t>Other Authorities</w:t>
      </w:r>
    </w:p>
    <w:p w:rsidR="009609BB" w:rsidRDefault="009609BB">
      <w:pPr>
        <w:pStyle w:val="TableofAuthorities"/>
        <w:tabs>
          <w:tab w:val="right" w:leader="dot" w:pos="9350"/>
        </w:tabs>
        <w:rPr>
          <w:noProof/>
        </w:rPr>
      </w:pPr>
    </w:p>
    <w:p w:rsidR="007F4921" w:rsidRPr="0045295C" w:rsidRDefault="0097297C" w:rsidP="0097297C">
      <w:pPr>
        <w:pStyle w:val="TOAHeading"/>
        <w:tabs>
          <w:tab w:val="right" w:leader="dot" w:pos="9350"/>
        </w:tabs>
      </w:pPr>
      <w:r>
        <w:fldChar w:fldCharType="end"/>
      </w:r>
      <w:r w:rsidR="004D3E07">
        <w:fldChar w:fldCharType="begin"/>
      </w:r>
      <w:r w:rsidR="004D3E07">
        <w:instrText xml:space="preserve"> TOA \h \c "6" \p </w:instrText>
      </w:r>
      <w:r w:rsidR="004D3E07">
        <w:fldChar w:fldCharType="separate"/>
      </w:r>
      <w:r w:rsidR="004D3E07">
        <w:fldChar w:fldCharType="end"/>
      </w:r>
    </w:p>
    <w:p w:rsidR="0033364C" w:rsidRPr="0045295C" w:rsidRDefault="0033364C" w:rsidP="00EC5E6C">
      <w:pPr>
        <w:jc w:val="center"/>
        <w:rPr>
          <w:rFonts w:ascii="Century Schoolbook" w:hAnsi="Century Schoolbook"/>
          <w:b/>
          <w:szCs w:val="28"/>
        </w:rPr>
      </w:pPr>
    </w:p>
    <w:p w:rsidR="003D0F87" w:rsidRPr="0045295C" w:rsidRDefault="003D0F87" w:rsidP="007C0B11">
      <w:pPr>
        <w:rPr>
          <w:rFonts w:ascii="Century Schoolbook" w:hAnsi="Century Schoolbook"/>
          <w:i/>
          <w:iCs/>
          <w:szCs w:val="28"/>
        </w:rPr>
      </w:pPr>
    </w:p>
    <w:p w:rsidR="007C0B11" w:rsidRPr="0045295C" w:rsidRDefault="007C0B11" w:rsidP="007C0B11">
      <w:pPr>
        <w:rPr>
          <w:rFonts w:ascii="Century Schoolbook" w:hAnsi="Century Schoolbook"/>
          <w:szCs w:val="28"/>
        </w:rPr>
      </w:pPr>
    </w:p>
    <w:p w:rsidR="006C56C5" w:rsidRPr="0045295C" w:rsidRDefault="006C56C5" w:rsidP="00C759B7">
      <w:pPr>
        <w:tabs>
          <w:tab w:val="right" w:leader="dot" w:pos="9360"/>
        </w:tabs>
        <w:ind w:left="720" w:right="750" w:hanging="720"/>
        <w:rPr>
          <w:rFonts w:ascii="Century Schoolbook" w:hAnsi="Century Schoolbook"/>
          <w:szCs w:val="28"/>
        </w:rPr>
      </w:pPr>
    </w:p>
    <w:p w:rsidR="00694F9E" w:rsidRPr="0045295C" w:rsidRDefault="00694F9E" w:rsidP="00C759B7">
      <w:pPr>
        <w:tabs>
          <w:tab w:val="right" w:leader="dot" w:pos="9360"/>
        </w:tabs>
        <w:ind w:left="720" w:right="750" w:hanging="720"/>
        <w:rPr>
          <w:rFonts w:ascii="Century Schoolbook" w:hAnsi="Century Schoolbook"/>
          <w:szCs w:val="28"/>
        </w:rPr>
        <w:sectPr w:rsidR="00694F9E" w:rsidRPr="0045295C" w:rsidSect="00BA0484">
          <w:pgSz w:w="12240" w:h="15840"/>
          <w:pgMar w:top="1440" w:right="1440" w:bottom="1440" w:left="1440" w:header="720" w:footer="720" w:gutter="0"/>
          <w:pgNumType w:fmt="lowerRoman"/>
          <w:cols w:space="720"/>
          <w:titlePg/>
          <w:docGrid w:linePitch="360"/>
        </w:sectPr>
      </w:pPr>
    </w:p>
    <w:p w:rsidR="004A6199" w:rsidRPr="0045295C" w:rsidRDefault="00FB0BCF" w:rsidP="009609BB">
      <w:pPr>
        <w:pStyle w:val="Title"/>
      </w:pPr>
      <w:bookmarkStart w:id="9" w:name="OLE_LINK1"/>
      <w:bookmarkStart w:id="10" w:name="OLE_LINK2"/>
      <w:bookmarkStart w:id="11" w:name="_Toc187167212"/>
      <w:bookmarkStart w:id="12" w:name="_Toc281392090"/>
      <w:bookmarkStart w:id="13" w:name="_Toc187167211"/>
      <w:bookmarkStart w:id="14" w:name="_Toc77693844"/>
      <w:r w:rsidRPr="009609BB">
        <w:t>INTERESTS</w:t>
      </w:r>
      <w:r w:rsidRPr="0045295C">
        <w:t xml:space="preserve"> OF AMICI</w:t>
      </w:r>
      <w:bookmarkEnd w:id="14"/>
    </w:p>
    <w:p w:rsidR="00823C22" w:rsidRDefault="00D05DFF" w:rsidP="004F6A8A">
      <w:pPr>
        <w:pStyle w:val="Body"/>
        <w:jc w:val="both"/>
        <w:rPr>
          <w:rFonts w:ascii="Century Schoolbook" w:hAnsi="Century Schoolbook"/>
        </w:rPr>
      </w:pPr>
      <w:r w:rsidRPr="0045295C">
        <w:rPr>
          <w:rFonts w:ascii="Century Schoolbook" w:hAnsi="Century Schoolbook"/>
        </w:rPr>
        <w:t xml:space="preserve">Amici curiae—the States of </w:t>
      </w:r>
      <w:r w:rsidR="009003F5">
        <w:rPr>
          <w:rFonts w:ascii="Century Schoolbook" w:hAnsi="Century Schoolbook"/>
        </w:rPr>
        <w:t>Arizona [</w:t>
      </w:r>
      <w:r w:rsidR="007C0BDA">
        <w:rPr>
          <w:rFonts w:ascii="Century Schoolbook" w:hAnsi="Century Schoolbook"/>
        </w:rPr>
        <w:t>[</w:t>
      </w:r>
      <w:r w:rsidR="009003F5" w:rsidRPr="00AF7461">
        <w:rPr>
          <w:rFonts w:ascii="Century Schoolbook" w:hAnsi="Century Schoolbook"/>
          <w:highlight w:val="yellow"/>
        </w:rPr>
        <w:t>and Full list</w:t>
      </w:r>
      <w:r w:rsidR="007C0BDA">
        <w:rPr>
          <w:rFonts w:ascii="Century Schoolbook" w:hAnsi="Century Schoolbook"/>
        </w:rPr>
        <w:t>]</w:t>
      </w:r>
      <w:r w:rsidR="009003F5">
        <w:rPr>
          <w:rFonts w:ascii="Century Schoolbook" w:hAnsi="Century Schoolbook"/>
        </w:rPr>
        <w:t>]</w:t>
      </w:r>
      <w:r w:rsidRPr="0045295C">
        <w:rPr>
          <w:rFonts w:ascii="Century Schoolbook" w:hAnsi="Century Schoolbook"/>
        </w:rPr>
        <w:t xml:space="preserve">—all have a compelling interest in </w:t>
      </w:r>
      <w:r w:rsidR="00AA2385">
        <w:rPr>
          <w:rFonts w:ascii="Century Schoolbook" w:hAnsi="Century Schoolbook"/>
        </w:rPr>
        <w:t xml:space="preserve">protecting their sovereign powers under the Constitution and our federal system </w:t>
      </w:r>
      <w:r w:rsidR="00942ADE">
        <w:rPr>
          <w:rFonts w:ascii="Century Schoolbook" w:hAnsi="Century Schoolbook"/>
        </w:rPr>
        <w:t>of</w:t>
      </w:r>
      <w:r w:rsidR="00AA2385">
        <w:rPr>
          <w:rFonts w:ascii="Century Schoolbook" w:hAnsi="Century Schoolbook"/>
        </w:rPr>
        <w:t xml:space="preserve"> dual sovereigns. </w:t>
      </w:r>
      <w:r w:rsidR="00823C22">
        <w:rPr>
          <w:rFonts w:ascii="Century Schoolbook" w:hAnsi="Century Schoolbook"/>
        </w:rPr>
        <w:t xml:space="preserve">Indeed, </w:t>
      </w:r>
      <w:r w:rsidR="00823C22" w:rsidRPr="00823C22">
        <w:rPr>
          <w:rFonts w:ascii="Century Schoolbook" w:hAnsi="Century Schoolbook"/>
        </w:rPr>
        <w:t>“</w:t>
      </w:r>
      <w:r w:rsidR="00823C22">
        <w:rPr>
          <w:rFonts w:ascii="Century Schoolbook" w:hAnsi="Century Schoolbook"/>
        </w:rPr>
        <w:t>[t]</w:t>
      </w:r>
      <w:r w:rsidR="00823C22" w:rsidRPr="00823C22">
        <w:rPr>
          <w:rFonts w:ascii="Century Schoolbook" w:hAnsi="Century Schoolbook"/>
        </w:rPr>
        <w:t>he federal system rests on what might at first seem a</w:t>
      </w:r>
      <w:r w:rsidR="00823C22">
        <w:rPr>
          <w:rFonts w:ascii="Century Schoolbook" w:hAnsi="Century Schoolbook"/>
        </w:rPr>
        <w:t xml:space="preserve"> </w:t>
      </w:r>
      <w:r w:rsidR="00823C22" w:rsidRPr="00823C22">
        <w:rPr>
          <w:rFonts w:ascii="Century Schoolbook" w:hAnsi="Century Schoolbook"/>
        </w:rPr>
        <w:t>counterintuitive insight, that ‘freedom is enhanced by the creation of</w:t>
      </w:r>
      <w:r w:rsidR="00823C22">
        <w:rPr>
          <w:rFonts w:ascii="Century Schoolbook" w:hAnsi="Century Schoolbook"/>
        </w:rPr>
        <w:t xml:space="preserve"> </w:t>
      </w:r>
      <w:r w:rsidR="00823C22" w:rsidRPr="00823C22">
        <w:rPr>
          <w:rFonts w:ascii="Century Schoolbook" w:hAnsi="Century Schoolbook"/>
        </w:rPr>
        <w:t xml:space="preserve">two governments, not one.’” </w:t>
      </w:r>
      <w:r w:rsidR="00823C22" w:rsidRPr="00823C22">
        <w:rPr>
          <w:rFonts w:ascii="Century Schoolbook" w:hAnsi="Century Schoolbook"/>
          <w:i/>
        </w:rPr>
        <w:t>Bond v. United States</w:t>
      </w:r>
      <w:r w:rsidR="00823C22" w:rsidRPr="00823C22">
        <w:rPr>
          <w:rFonts w:ascii="Century Schoolbook" w:hAnsi="Century Schoolbook"/>
        </w:rPr>
        <w:t>, 564 U.S. 211, 220-21</w:t>
      </w:r>
      <w:r w:rsidR="00823C22">
        <w:rPr>
          <w:rFonts w:ascii="Century Schoolbook" w:hAnsi="Century Schoolbook"/>
        </w:rPr>
        <w:t xml:space="preserve"> </w:t>
      </w:r>
      <w:r w:rsidR="00823C22" w:rsidRPr="00823C22">
        <w:rPr>
          <w:rFonts w:ascii="Century Schoolbook" w:hAnsi="Century Schoolbook"/>
        </w:rPr>
        <w:t>(2011)</w:t>
      </w:r>
      <w:r w:rsidR="0085001F">
        <w:rPr>
          <w:rFonts w:ascii="Century Schoolbook" w:hAnsi="Century Schoolbook"/>
        </w:rPr>
        <w:fldChar w:fldCharType="begin"/>
      </w:r>
      <w:r w:rsidR="0085001F">
        <w:instrText xml:space="preserve"> TA \l "</w:instrText>
      </w:r>
      <w:r w:rsidR="0085001F" w:rsidRPr="00DF6E16">
        <w:rPr>
          <w:rFonts w:ascii="Century Schoolbook" w:hAnsi="Century Schoolbook"/>
          <w:i/>
        </w:rPr>
        <w:instrText>Bond v. United States</w:instrText>
      </w:r>
      <w:r w:rsidR="0085001F" w:rsidRPr="00DF6E16">
        <w:rPr>
          <w:rFonts w:ascii="Century Schoolbook" w:hAnsi="Century Schoolbook"/>
        </w:rPr>
        <w:instrText xml:space="preserve">, </w:instrText>
      </w:r>
      <w:r w:rsidR="0085001F" w:rsidRPr="00DF6E16">
        <w:rPr>
          <w:rFonts w:ascii="Century Schoolbook" w:hAnsi="Century Schoolbook"/>
        </w:rPr>
        <w:br/>
        <w:instrText>564 U.S. 211 (2011)</w:instrText>
      </w:r>
      <w:r w:rsidR="0085001F">
        <w:instrText xml:space="preserve">" \s "Bond v. United States, 564 U.S. 211, 220-21 (2011)" \c 1 </w:instrText>
      </w:r>
      <w:r w:rsidR="0085001F">
        <w:rPr>
          <w:rFonts w:ascii="Century Schoolbook" w:hAnsi="Century Schoolbook"/>
        </w:rPr>
        <w:fldChar w:fldCharType="end"/>
      </w:r>
      <w:r w:rsidR="00823C22" w:rsidRPr="00823C22">
        <w:rPr>
          <w:rFonts w:ascii="Century Schoolbook" w:hAnsi="Century Schoolbook"/>
        </w:rPr>
        <w:t xml:space="preserve"> (citation omitted). “For this reason, ‘the Constitution has never</w:t>
      </w:r>
      <w:r w:rsidR="00823C22">
        <w:rPr>
          <w:rFonts w:ascii="Century Schoolbook" w:hAnsi="Century Schoolbook"/>
        </w:rPr>
        <w:t xml:space="preserve"> </w:t>
      </w:r>
      <w:r w:rsidR="00823C22" w:rsidRPr="00823C22">
        <w:rPr>
          <w:rFonts w:ascii="Century Schoolbook" w:hAnsi="Century Schoolbook"/>
        </w:rPr>
        <w:t>been understood to confer upon Congress the ability to require the</w:t>
      </w:r>
      <w:r w:rsidR="00823C22">
        <w:rPr>
          <w:rFonts w:ascii="Century Schoolbook" w:hAnsi="Century Schoolbook"/>
        </w:rPr>
        <w:t xml:space="preserve"> </w:t>
      </w:r>
      <w:r w:rsidR="00823C22" w:rsidRPr="00823C22">
        <w:rPr>
          <w:rFonts w:ascii="Century Schoolbook" w:hAnsi="Century Schoolbook"/>
        </w:rPr>
        <w:t>States to govern according to Congress’ instructions.’ Otherwise the</w:t>
      </w:r>
      <w:r w:rsidR="00823C22">
        <w:rPr>
          <w:rFonts w:ascii="Century Schoolbook" w:hAnsi="Century Schoolbook"/>
        </w:rPr>
        <w:t xml:space="preserve"> </w:t>
      </w:r>
      <w:r w:rsidR="00823C22" w:rsidRPr="00823C22">
        <w:rPr>
          <w:rFonts w:ascii="Century Schoolbook" w:hAnsi="Century Schoolbook"/>
        </w:rPr>
        <w:t>two-government system established by the Framers would give way to a</w:t>
      </w:r>
      <w:r w:rsidR="00823C22">
        <w:rPr>
          <w:rFonts w:ascii="Century Schoolbook" w:hAnsi="Century Schoolbook"/>
        </w:rPr>
        <w:t xml:space="preserve"> </w:t>
      </w:r>
      <w:r w:rsidR="00823C22" w:rsidRPr="00823C22">
        <w:rPr>
          <w:rFonts w:ascii="Century Schoolbook" w:hAnsi="Century Schoolbook"/>
        </w:rPr>
        <w:t xml:space="preserve">system that vests power in one central government, and individual liberty would suffer.” </w:t>
      </w:r>
      <w:r w:rsidR="00823C22">
        <w:rPr>
          <w:rFonts w:ascii="Century Schoolbook" w:hAnsi="Century Schoolbook"/>
          <w:i/>
        </w:rPr>
        <w:t>National</w:t>
      </w:r>
      <w:r w:rsidR="00823C22" w:rsidRPr="0045295C">
        <w:rPr>
          <w:rFonts w:ascii="Century Schoolbook" w:hAnsi="Century Schoolbook"/>
          <w:i/>
        </w:rPr>
        <w:t xml:space="preserve"> </w:t>
      </w:r>
      <w:proofErr w:type="spellStart"/>
      <w:r w:rsidR="00823C22" w:rsidRPr="0045295C">
        <w:rPr>
          <w:rFonts w:ascii="Century Schoolbook" w:hAnsi="Century Schoolbook"/>
          <w:i/>
        </w:rPr>
        <w:t>Fed</w:t>
      </w:r>
      <w:r w:rsidR="00823C22">
        <w:rPr>
          <w:rFonts w:ascii="Century Schoolbook" w:hAnsi="Century Schoolbook"/>
          <w:i/>
        </w:rPr>
        <w:t>’</w:t>
      </w:r>
      <w:r w:rsidR="00823C22" w:rsidRPr="0045295C">
        <w:rPr>
          <w:rFonts w:ascii="Century Schoolbook" w:hAnsi="Century Schoolbook"/>
          <w:i/>
        </w:rPr>
        <w:t>n</w:t>
      </w:r>
      <w:proofErr w:type="spellEnd"/>
      <w:r w:rsidR="00823C22" w:rsidRPr="0045295C">
        <w:rPr>
          <w:rFonts w:ascii="Century Schoolbook" w:hAnsi="Century Schoolbook"/>
          <w:i/>
        </w:rPr>
        <w:t xml:space="preserve"> of </w:t>
      </w:r>
      <w:proofErr w:type="spellStart"/>
      <w:r w:rsidR="00823C22" w:rsidRPr="0045295C">
        <w:rPr>
          <w:rFonts w:ascii="Century Schoolbook" w:hAnsi="Century Schoolbook"/>
          <w:i/>
        </w:rPr>
        <w:t>Indep</w:t>
      </w:r>
      <w:proofErr w:type="spellEnd"/>
      <w:r w:rsidR="00823C22" w:rsidRPr="0045295C">
        <w:rPr>
          <w:rFonts w:ascii="Century Schoolbook" w:hAnsi="Century Schoolbook"/>
          <w:i/>
        </w:rPr>
        <w:t>. Bus. v. Sebelius</w:t>
      </w:r>
      <w:r w:rsidR="00823C22">
        <w:rPr>
          <w:rFonts w:ascii="Century Schoolbook" w:hAnsi="Century Schoolbook"/>
          <w:i/>
        </w:rPr>
        <w:t xml:space="preserve"> (“NFIB”)</w:t>
      </w:r>
      <w:r w:rsidR="00823C22" w:rsidRPr="0045295C">
        <w:rPr>
          <w:rFonts w:ascii="Century Schoolbook" w:hAnsi="Century Schoolbook"/>
        </w:rPr>
        <w:t>, 567 U.S. 519, 577 (2012)</w:t>
      </w:r>
      <w:r w:rsidR="0085001F">
        <w:rPr>
          <w:rFonts w:ascii="Century Schoolbook" w:hAnsi="Century Schoolbook"/>
        </w:rPr>
        <w:fldChar w:fldCharType="begin"/>
      </w:r>
      <w:r w:rsidR="0085001F">
        <w:instrText xml:space="preserve"> TA \l "</w:instrText>
      </w:r>
      <w:r w:rsidR="0085001F" w:rsidRPr="008C4301">
        <w:rPr>
          <w:rFonts w:ascii="Century Schoolbook" w:hAnsi="Century Schoolbook"/>
          <w:i/>
        </w:rPr>
        <w:instrText>Nat’l Fed’n of Indep. Bus. v. Sebelius (</w:instrText>
      </w:r>
      <w:r w:rsidR="0085001F">
        <w:rPr>
          <w:iCs w:val="0"/>
          <w:sz w:val="20"/>
          <w:szCs w:val="20"/>
          <w:lang w:eastAsia="en-US"/>
        </w:rPr>
        <w:instrText>\</w:instrText>
      </w:r>
      <w:r w:rsidR="0085001F" w:rsidRPr="008C4301">
        <w:rPr>
          <w:rFonts w:ascii="Century Schoolbook" w:hAnsi="Century Schoolbook"/>
          <w:i/>
        </w:rPr>
        <w:instrText>“NFIB</w:instrText>
      </w:r>
      <w:r w:rsidR="0085001F">
        <w:rPr>
          <w:iCs w:val="0"/>
          <w:sz w:val="20"/>
          <w:szCs w:val="20"/>
          <w:lang w:eastAsia="en-US"/>
        </w:rPr>
        <w:instrText>\</w:instrText>
      </w:r>
      <w:r w:rsidR="0085001F" w:rsidRPr="008C4301">
        <w:rPr>
          <w:rFonts w:ascii="Century Schoolbook" w:hAnsi="Century Schoolbook"/>
          <w:i/>
        </w:rPr>
        <w:instrText>”)</w:instrText>
      </w:r>
      <w:r w:rsidR="0085001F" w:rsidRPr="008C4301">
        <w:rPr>
          <w:rFonts w:ascii="Century Schoolbook" w:hAnsi="Century Schoolbook"/>
        </w:rPr>
        <w:instrText xml:space="preserve">, </w:instrText>
      </w:r>
      <w:r w:rsidR="0085001F" w:rsidRPr="008C4301">
        <w:rPr>
          <w:rFonts w:ascii="Century Schoolbook" w:hAnsi="Century Schoolbook"/>
        </w:rPr>
        <w:br/>
        <w:instrText>567 U.S. 519 (2012)</w:instrText>
      </w:r>
      <w:r w:rsidR="0085001F">
        <w:instrText xml:space="preserve">" \s "Nat’l Fed’n of Indep. Bus. v. Sebelius (\"NFIB\"), 567 U.S. 519, 577 (2012)" \c 1 </w:instrText>
      </w:r>
      <w:r w:rsidR="0085001F">
        <w:rPr>
          <w:rFonts w:ascii="Century Schoolbook" w:hAnsi="Century Schoolbook"/>
        </w:rPr>
        <w:fldChar w:fldCharType="end"/>
      </w:r>
      <w:r w:rsidR="00823C22" w:rsidRPr="00823C22">
        <w:rPr>
          <w:rFonts w:ascii="Century Schoolbook" w:hAnsi="Century Schoolbook"/>
        </w:rPr>
        <w:t xml:space="preserve"> (quoting </w:t>
      </w:r>
      <w:r w:rsidR="00823C22" w:rsidRPr="00823C22">
        <w:rPr>
          <w:rFonts w:ascii="Century Schoolbook" w:hAnsi="Century Schoolbook"/>
          <w:i/>
        </w:rPr>
        <w:t>New York v. United States</w:t>
      </w:r>
      <w:r w:rsidR="00823C22" w:rsidRPr="00823C22">
        <w:rPr>
          <w:rFonts w:ascii="Century Schoolbook" w:hAnsi="Century Schoolbook"/>
        </w:rPr>
        <w:t>, 505 U.S. 144, 162 (1992)</w:t>
      </w:r>
      <w:r w:rsidR="0085001F">
        <w:rPr>
          <w:rFonts w:ascii="Century Schoolbook" w:hAnsi="Century Schoolbook"/>
        </w:rPr>
        <w:fldChar w:fldCharType="begin"/>
      </w:r>
      <w:r w:rsidR="0085001F">
        <w:instrText xml:space="preserve"> TA \l "</w:instrText>
      </w:r>
      <w:r w:rsidR="0085001F" w:rsidRPr="00135E02">
        <w:rPr>
          <w:rFonts w:ascii="Century Schoolbook" w:hAnsi="Century Schoolbook"/>
          <w:i/>
        </w:rPr>
        <w:instrText>New York v. United States</w:instrText>
      </w:r>
      <w:r w:rsidR="0085001F" w:rsidRPr="00135E02">
        <w:rPr>
          <w:rFonts w:ascii="Century Schoolbook" w:hAnsi="Century Schoolbook"/>
        </w:rPr>
        <w:instrText xml:space="preserve">, </w:instrText>
      </w:r>
      <w:r w:rsidR="0085001F" w:rsidRPr="00135E02">
        <w:rPr>
          <w:rFonts w:ascii="Century Schoolbook" w:hAnsi="Century Schoolbook"/>
        </w:rPr>
        <w:br/>
        <w:instrText>505 U.S. 144 (1992)</w:instrText>
      </w:r>
      <w:r w:rsidR="0085001F">
        <w:instrText xml:space="preserve">" \s "New York v. United States, 505 U.S. 144, 162 (1992)" \c 1 </w:instrText>
      </w:r>
      <w:r w:rsidR="0085001F">
        <w:rPr>
          <w:rFonts w:ascii="Century Schoolbook" w:hAnsi="Century Schoolbook"/>
        </w:rPr>
        <w:fldChar w:fldCharType="end"/>
      </w:r>
      <w:r w:rsidR="00B6714E">
        <w:rPr>
          <w:rFonts w:ascii="Century Schoolbook" w:hAnsi="Century Schoolbook"/>
        </w:rPr>
        <w:t>)</w:t>
      </w:r>
      <w:r w:rsidR="00823C22" w:rsidRPr="00823C22">
        <w:rPr>
          <w:rFonts w:ascii="Century Schoolbook" w:hAnsi="Century Schoolbook"/>
        </w:rPr>
        <w:t>.</w:t>
      </w:r>
    </w:p>
    <w:p w:rsidR="004A6199" w:rsidRDefault="00AA2385" w:rsidP="0027249C">
      <w:pPr>
        <w:pStyle w:val="Body"/>
        <w:jc w:val="both"/>
        <w:rPr>
          <w:rFonts w:ascii="Century Schoolbook" w:hAnsi="Century Schoolbook"/>
        </w:rPr>
      </w:pPr>
      <w:r>
        <w:rPr>
          <w:rFonts w:ascii="Century Schoolbook" w:hAnsi="Century Schoolbook"/>
        </w:rPr>
        <w:t xml:space="preserve">To </w:t>
      </w:r>
      <w:r w:rsidR="00823C22">
        <w:rPr>
          <w:rFonts w:ascii="Century Schoolbook" w:hAnsi="Century Schoolbook"/>
        </w:rPr>
        <w:t>these</w:t>
      </w:r>
      <w:r>
        <w:rPr>
          <w:rFonts w:ascii="Century Schoolbook" w:hAnsi="Century Schoolbook"/>
        </w:rPr>
        <w:t xml:space="preserve"> end</w:t>
      </w:r>
      <w:r w:rsidR="00823C22">
        <w:rPr>
          <w:rFonts w:ascii="Century Schoolbook" w:hAnsi="Century Schoolbook"/>
        </w:rPr>
        <w:t>s</w:t>
      </w:r>
      <w:r>
        <w:rPr>
          <w:rFonts w:ascii="Century Schoolbook" w:hAnsi="Century Schoolbook"/>
        </w:rPr>
        <w:t xml:space="preserve">, the States have a compelling interest in </w:t>
      </w:r>
      <w:r w:rsidR="001826EE" w:rsidRPr="0045295C">
        <w:rPr>
          <w:rFonts w:ascii="Century Schoolbook" w:hAnsi="Century Schoolbook"/>
        </w:rPr>
        <w:t xml:space="preserve">ensuring that States can challenge federal statutes </w:t>
      </w:r>
      <w:r w:rsidR="00AF7461">
        <w:rPr>
          <w:rFonts w:ascii="Century Schoolbook" w:hAnsi="Century Schoolbook"/>
        </w:rPr>
        <w:t>that</w:t>
      </w:r>
      <w:r w:rsidR="001826EE" w:rsidRPr="0045295C">
        <w:rPr>
          <w:rFonts w:ascii="Century Schoolbook" w:hAnsi="Century Schoolbook"/>
        </w:rPr>
        <w:t xml:space="preserve"> unconstitutionally infringe on their sovereign rights</w:t>
      </w:r>
      <w:r>
        <w:rPr>
          <w:rFonts w:ascii="Century Schoolbook" w:hAnsi="Century Schoolbook"/>
        </w:rPr>
        <w:t xml:space="preserve"> and violate the federal principles of the Constitution</w:t>
      </w:r>
      <w:r w:rsidR="00D05DFF" w:rsidRPr="0045295C">
        <w:rPr>
          <w:rFonts w:ascii="Century Schoolbook" w:hAnsi="Century Schoolbook"/>
        </w:rPr>
        <w:t>.</w:t>
      </w:r>
      <w:r w:rsidR="00D02B86" w:rsidRPr="0045295C">
        <w:rPr>
          <w:rFonts w:ascii="Century Schoolbook" w:hAnsi="Century Schoolbook"/>
        </w:rPr>
        <w:t xml:space="preserve"> </w:t>
      </w:r>
      <w:r w:rsidR="00D05DFF" w:rsidRPr="0045295C">
        <w:rPr>
          <w:rFonts w:ascii="Century Schoolbook" w:hAnsi="Century Schoolbook"/>
        </w:rPr>
        <w:t xml:space="preserve">Moreover, </w:t>
      </w:r>
      <w:r w:rsidR="001826EE" w:rsidRPr="0045295C">
        <w:rPr>
          <w:rFonts w:ascii="Century Schoolbook" w:hAnsi="Century Schoolbook"/>
        </w:rPr>
        <w:t>these States have a strong interest in being able to enact their own tax policy without federal interference.</w:t>
      </w:r>
      <w:r w:rsidR="004F6A8A">
        <w:rPr>
          <w:rFonts w:ascii="Century Schoolbook" w:hAnsi="Century Schoolbook"/>
        </w:rPr>
        <w:t xml:space="preserve"> As explained below, </w:t>
      </w:r>
      <w:r w:rsidR="007C0BDA">
        <w:rPr>
          <w:rFonts w:ascii="Century Schoolbook" w:hAnsi="Century Schoolbook"/>
        </w:rPr>
        <w:t xml:space="preserve">Ohio’s </w:t>
      </w:r>
      <w:r w:rsidR="004F6A8A">
        <w:rPr>
          <w:rFonts w:ascii="Century Schoolbook" w:hAnsi="Century Schoolbook"/>
        </w:rPr>
        <w:t>interest in doing so amply supports Article III standing here.</w:t>
      </w:r>
      <w:bookmarkEnd w:id="13"/>
    </w:p>
    <w:p w:rsidR="0027249C" w:rsidRPr="0027249C" w:rsidRDefault="0027249C" w:rsidP="0027249C">
      <w:pPr>
        <w:pStyle w:val="Title"/>
        <w:rPr>
          <w:rStyle w:val="Strong"/>
          <w:bCs w:val="0"/>
        </w:rPr>
      </w:pPr>
      <w:bookmarkStart w:id="15" w:name="_Toc77693845"/>
      <w:r w:rsidRPr="0027249C">
        <w:rPr>
          <w:rStyle w:val="Strong"/>
          <w:bCs w:val="0"/>
        </w:rPr>
        <w:t>INTRODUCTION</w:t>
      </w:r>
      <w:bookmarkEnd w:id="15"/>
    </w:p>
    <w:p w:rsidR="00EC3EC1" w:rsidRPr="0045295C" w:rsidRDefault="00EC3EC1" w:rsidP="004F6A8A">
      <w:pPr>
        <w:pStyle w:val="Body"/>
        <w:tabs>
          <w:tab w:val="center" w:pos="5040"/>
        </w:tabs>
        <w:jc w:val="both"/>
        <w:rPr>
          <w:rFonts w:ascii="Century Schoolbook" w:hAnsi="Century Schoolbook"/>
        </w:rPr>
      </w:pPr>
      <w:r w:rsidRPr="0045295C">
        <w:rPr>
          <w:rFonts w:ascii="Century Schoolbook" w:hAnsi="Century Schoolbook"/>
        </w:rPr>
        <w:t>This case involves</w:t>
      </w:r>
      <w:r w:rsidR="004F6A8A">
        <w:rPr>
          <w:rFonts w:ascii="Century Schoolbook" w:hAnsi="Century Schoolbook"/>
        </w:rPr>
        <w:t xml:space="preserve"> a straightforward, recurrent, and fundamentally important question:</w:t>
      </w:r>
      <w:r w:rsidRPr="0045295C">
        <w:rPr>
          <w:rFonts w:ascii="Century Schoolbook" w:hAnsi="Century Schoolbook"/>
        </w:rPr>
        <w:t xml:space="preserve"> whether </w:t>
      </w:r>
      <w:r w:rsidR="004F6A8A">
        <w:rPr>
          <w:rFonts w:ascii="Century Schoolbook" w:hAnsi="Century Schoolbook"/>
        </w:rPr>
        <w:t>f</w:t>
      </w:r>
      <w:r w:rsidRPr="0045295C">
        <w:rPr>
          <w:rFonts w:ascii="Century Schoolbook" w:hAnsi="Century Schoolbook"/>
        </w:rPr>
        <w:t xml:space="preserve">ederal </w:t>
      </w:r>
      <w:r w:rsidR="004F6A8A">
        <w:rPr>
          <w:rFonts w:ascii="Century Schoolbook" w:hAnsi="Century Schoolbook"/>
        </w:rPr>
        <w:t>c</w:t>
      </w:r>
      <w:r w:rsidRPr="0045295C">
        <w:rPr>
          <w:rFonts w:ascii="Century Schoolbook" w:hAnsi="Century Schoolbook"/>
        </w:rPr>
        <w:t xml:space="preserve">ourts </w:t>
      </w:r>
      <w:r w:rsidR="004F6A8A">
        <w:rPr>
          <w:rFonts w:ascii="Century Schoolbook" w:hAnsi="Century Schoolbook"/>
        </w:rPr>
        <w:t>have authority under Article III</w:t>
      </w:r>
      <w:r w:rsidRPr="0045295C">
        <w:rPr>
          <w:rFonts w:ascii="Century Schoolbook" w:hAnsi="Century Schoolbook"/>
        </w:rPr>
        <w:t xml:space="preserve"> to protect important State interests from federal encroachment. </w:t>
      </w:r>
      <w:r w:rsidR="004F6A8A">
        <w:rPr>
          <w:rFonts w:ascii="Century Schoolbook" w:hAnsi="Century Schoolbook"/>
        </w:rPr>
        <w:t xml:space="preserve">The Supreme Court has long ago settled that question, by </w:t>
      </w:r>
      <w:r w:rsidRPr="0045295C">
        <w:rPr>
          <w:rFonts w:ascii="Century Schoolbook" w:hAnsi="Century Schoolbook"/>
        </w:rPr>
        <w:t>repeated</w:t>
      </w:r>
      <w:r w:rsidR="004F6A8A">
        <w:rPr>
          <w:rFonts w:ascii="Century Schoolbook" w:hAnsi="Century Schoolbook"/>
        </w:rPr>
        <w:t>ly</w:t>
      </w:r>
      <w:r w:rsidRPr="0045295C">
        <w:rPr>
          <w:rFonts w:ascii="Century Schoolbook" w:hAnsi="Century Schoolbook"/>
        </w:rPr>
        <w:t xml:space="preserve"> interven</w:t>
      </w:r>
      <w:r w:rsidR="004F6A8A">
        <w:rPr>
          <w:rFonts w:ascii="Century Schoolbook" w:hAnsi="Century Schoolbook"/>
        </w:rPr>
        <w:t>ing</w:t>
      </w:r>
      <w:r w:rsidRPr="0045295C">
        <w:rPr>
          <w:rFonts w:ascii="Century Schoolbook" w:hAnsi="Century Schoolbook"/>
        </w:rPr>
        <w:t xml:space="preserve"> to </w:t>
      </w:r>
      <w:r w:rsidR="00E010A7" w:rsidRPr="0045295C">
        <w:rPr>
          <w:rFonts w:ascii="Century Schoolbook" w:hAnsi="Century Schoolbook"/>
        </w:rPr>
        <w:t xml:space="preserve">ensure that federal legislation does not “undermine the status of the States as independent sovereigns in our federal system.” </w:t>
      </w:r>
      <w:r w:rsidR="004F6A8A">
        <w:rPr>
          <w:rFonts w:ascii="Century Schoolbook" w:hAnsi="Century Schoolbook"/>
          <w:i/>
        </w:rPr>
        <w:t>NFIB</w:t>
      </w:r>
      <w:r w:rsidR="00E010A7" w:rsidRPr="0045295C">
        <w:rPr>
          <w:rFonts w:ascii="Century Schoolbook" w:hAnsi="Century Schoolbook"/>
        </w:rPr>
        <w:t>, 567 U.S.</w:t>
      </w:r>
      <w:r w:rsidR="0085001F">
        <w:rPr>
          <w:rFonts w:ascii="Century Schoolbook" w:hAnsi="Century Schoolbook"/>
        </w:rPr>
        <w:fldChar w:fldCharType="begin"/>
      </w:r>
      <w:r w:rsidR="0085001F">
        <w:instrText xml:space="preserve"> TA \s "Nat’l Fed’n of Indep. Bus. v. Sebelius (\"NFIB\"), 567 U.S. 519, 577 (2012)" </w:instrText>
      </w:r>
      <w:r w:rsidR="0085001F">
        <w:rPr>
          <w:rFonts w:ascii="Century Schoolbook" w:hAnsi="Century Schoolbook"/>
        </w:rPr>
        <w:fldChar w:fldCharType="end"/>
      </w:r>
      <w:r w:rsidR="00E010A7" w:rsidRPr="0045295C">
        <w:rPr>
          <w:rFonts w:ascii="Century Schoolbook" w:hAnsi="Century Schoolbook"/>
        </w:rPr>
        <w:t xml:space="preserve"> </w:t>
      </w:r>
      <w:r w:rsidR="004F6A8A">
        <w:rPr>
          <w:rFonts w:ascii="Century Schoolbook" w:hAnsi="Century Schoolbook"/>
        </w:rPr>
        <w:t>at</w:t>
      </w:r>
      <w:r w:rsidR="00E010A7" w:rsidRPr="0045295C">
        <w:rPr>
          <w:rFonts w:ascii="Century Schoolbook" w:hAnsi="Century Schoolbook"/>
        </w:rPr>
        <w:t xml:space="preserve"> 577</w:t>
      </w:r>
      <w:r w:rsidR="00C9695E">
        <w:rPr>
          <w:rFonts w:ascii="Century Schoolbook" w:hAnsi="Century Schoolbook"/>
        </w:rPr>
        <w:t>;</w:t>
      </w:r>
      <w:r w:rsidR="00C9695E" w:rsidRPr="0045295C">
        <w:rPr>
          <w:rFonts w:ascii="Century Schoolbook" w:hAnsi="Century Schoolbook"/>
        </w:rPr>
        <w:t xml:space="preserve"> </w:t>
      </w:r>
      <w:r w:rsidR="00942ADE">
        <w:rPr>
          <w:rFonts w:ascii="Century Schoolbook" w:hAnsi="Century Schoolbook"/>
          <w:i/>
        </w:rPr>
        <w:t>a</w:t>
      </w:r>
      <w:r w:rsidR="004F6A8A">
        <w:rPr>
          <w:rFonts w:ascii="Century Schoolbook" w:hAnsi="Century Schoolbook"/>
          <w:i/>
        </w:rPr>
        <w:t>ccord</w:t>
      </w:r>
      <w:r w:rsidR="00E010A7" w:rsidRPr="0045295C">
        <w:rPr>
          <w:rFonts w:ascii="Century Schoolbook" w:hAnsi="Century Schoolbook"/>
          <w:i/>
        </w:rPr>
        <w:t xml:space="preserve"> Printz v. United States</w:t>
      </w:r>
      <w:r w:rsidR="00E010A7" w:rsidRPr="0045295C">
        <w:rPr>
          <w:rFonts w:ascii="Century Schoolbook" w:hAnsi="Century Schoolbook"/>
        </w:rPr>
        <w:t>, 521 U.S. 898, 935 (1997)</w:t>
      </w:r>
      <w:r w:rsidR="0085001F">
        <w:rPr>
          <w:rFonts w:ascii="Century Schoolbook" w:hAnsi="Century Schoolbook"/>
        </w:rPr>
        <w:fldChar w:fldCharType="begin"/>
      </w:r>
      <w:r w:rsidR="0085001F">
        <w:instrText xml:space="preserve"> TA \l "</w:instrText>
      </w:r>
      <w:r w:rsidR="0085001F" w:rsidRPr="001C0230">
        <w:rPr>
          <w:rFonts w:ascii="Century Schoolbook" w:hAnsi="Century Schoolbook"/>
          <w:i/>
        </w:rPr>
        <w:instrText>Accord Printz v. United States</w:instrText>
      </w:r>
      <w:r w:rsidR="0085001F" w:rsidRPr="001C0230">
        <w:rPr>
          <w:rFonts w:ascii="Century Schoolbook" w:hAnsi="Century Schoolbook"/>
        </w:rPr>
        <w:instrText xml:space="preserve">, </w:instrText>
      </w:r>
      <w:r w:rsidR="0085001F" w:rsidRPr="001C0230">
        <w:rPr>
          <w:rFonts w:ascii="Century Schoolbook" w:hAnsi="Century Schoolbook"/>
        </w:rPr>
        <w:br/>
        <w:instrText>521 U.S. 898 (1997)</w:instrText>
      </w:r>
      <w:r w:rsidR="0085001F">
        <w:instrText xml:space="preserve">" \s "Accord Printz v. United States, 521 U.S. 898, 935 (1997)" \c 1 </w:instrText>
      </w:r>
      <w:r w:rsidR="0085001F">
        <w:rPr>
          <w:rFonts w:ascii="Century Schoolbook" w:hAnsi="Century Schoolbook"/>
        </w:rPr>
        <w:fldChar w:fldCharType="end"/>
      </w:r>
      <w:r w:rsidR="00E010A7" w:rsidRPr="0045295C">
        <w:rPr>
          <w:rFonts w:ascii="Century Schoolbook" w:hAnsi="Century Schoolbook"/>
        </w:rPr>
        <w:t xml:space="preserve">; </w:t>
      </w:r>
      <w:r w:rsidR="00533256" w:rsidRPr="0045295C">
        <w:rPr>
          <w:rFonts w:ascii="Century Schoolbook" w:hAnsi="Century Schoolbook"/>
          <w:i/>
        </w:rPr>
        <w:t>New York</w:t>
      </w:r>
      <w:r w:rsidR="00533256" w:rsidRPr="0045295C">
        <w:rPr>
          <w:rFonts w:ascii="Century Schoolbook" w:hAnsi="Century Schoolbook"/>
        </w:rPr>
        <w:t xml:space="preserve">, 505 U.S. </w:t>
      </w:r>
      <w:r w:rsidR="004F6A8A">
        <w:rPr>
          <w:rFonts w:ascii="Century Schoolbook" w:hAnsi="Century Schoolbook"/>
        </w:rPr>
        <w:t>at</w:t>
      </w:r>
      <w:r w:rsidR="00533256" w:rsidRPr="0045295C">
        <w:rPr>
          <w:rFonts w:ascii="Century Schoolbook" w:hAnsi="Century Schoolbook"/>
        </w:rPr>
        <w:t xml:space="preserve"> 188</w:t>
      </w:r>
      <w:r w:rsidR="0085001F">
        <w:rPr>
          <w:rFonts w:ascii="Century Schoolbook" w:hAnsi="Century Schoolbook"/>
        </w:rPr>
        <w:fldChar w:fldCharType="begin"/>
      </w:r>
      <w:r w:rsidR="0085001F">
        <w:instrText xml:space="preserve"> TA \s "New York v. United States, 505 U.S. 144, 162 (1992)" </w:instrText>
      </w:r>
      <w:r w:rsidR="0085001F">
        <w:rPr>
          <w:rFonts w:ascii="Century Schoolbook" w:hAnsi="Century Schoolbook"/>
        </w:rPr>
        <w:fldChar w:fldCharType="end"/>
      </w:r>
      <w:r w:rsidR="00533256" w:rsidRPr="0045295C">
        <w:rPr>
          <w:rFonts w:ascii="Century Schoolbook" w:hAnsi="Century Schoolbook"/>
        </w:rPr>
        <w:t>.</w:t>
      </w:r>
      <w:r w:rsidR="004F6A8A">
        <w:rPr>
          <w:rFonts w:ascii="Century Schoolbook" w:hAnsi="Century Schoolbook"/>
        </w:rPr>
        <w:t xml:space="preserve"> </w:t>
      </w:r>
      <w:r w:rsidR="00405729">
        <w:rPr>
          <w:rFonts w:ascii="Century Schoolbook" w:hAnsi="Century Schoolbook"/>
        </w:rPr>
        <w:t>The federal government’s primary argument in this case seeks to limit the ability of States to protect those interests. This Court should reject that argument.</w:t>
      </w:r>
    </w:p>
    <w:p w:rsidR="00531B62" w:rsidRPr="0045295C" w:rsidRDefault="004F6A8A" w:rsidP="004F6A8A">
      <w:pPr>
        <w:pStyle w:val="Body"/>
        <w:tabs>
          <w:tab w:val="center" w:pos="5040"/>
        </w:tabs>
        <w:jc w:val="both"/>
        <w:rPr>
          <w:rFonts w:ascii="Century Schoolbook" w:hAnsi="Century Schoolbook"/>
        </w:rPr>
      </w:pPr>
      <w:r>
        <w:rPr>
          <w:rFonts w:ascii="Century Schoolbook" w:hAnsi="Century Schoolbook"/>
        </w:rPr>
        <w:t>This case involves a</w:t>
      </w:r>
      <w:r w:rsidR="00EC3EC1" w:rsidRPr="0045295C">
        <w:rPr>
          <w:rFonts w:ascii="Century Schoolbook" w:hAnsi="Century Schoolbook"/>
        </w:rPr>
        <w:t xml:space="preserve"> </w:t>
      </w:r>
      <w:r w:rsidR="00E010A7" w:rsidRPr="0045295C">
        <w:rPr>
          <w:rFonts w:ascii="Century Schoolbook" w:hAnsi="Century Schoolbook"/>
        </w:rPr>
        <w:t xml:space="preserve">challenge brought by the State of </w:t>
      </w:r>
      <w:r w:rsidR="009C612F">
        <w:rPr>
          <w:rFonts w:ascii="Century Schoolbook" w:hAnsi="Century Schoolbook"/>
        </w:rPr>
        <w:t>Ohio</w:t>
      </w:r>
      <w:r w:rsidR="00E010A7" w:rsidRPr="0045295C">
        <w:rPr>
          <w:rFonts w:ascii="Century Schoolbook" w:hAnsi="Century Schoolbook"/>
        </w:rPr>
        <w:t xml:space="preserve"> </w:t>
      </w:r>
      <w:r w:rsidR="003A052E">
        <w:rPr>
          <w:rFonts w:ascii="Century Schoolbook" w:hAnsi="Century Schoolbook"/>
        </w:rPr>
        <w:t>to</w:t>
      </w:r>
      <w:r w:rsidR="00EC3EC1" w:rsidRPr="0045295C">
        <w:rPr>
          <w:rFonts w:ascii="Century Schoolbook" w:hAnsi="Century Schoolbook"/>
        </w:rPr>
        <w:t xml:space="preserve"> </w:t>
      </w:r>
      <w:r w:rsidR="00E010A7" w:rsidRPr="0045295C">
        <w:rPr>
          <w:rFonts w:ascii="Century Schoolbook" w:hAnsi="Century Schoolbook"/>
        </w:rPr>
        <w:t xml:space="preserve">a </w:t>
      </w:r>
      <w:r w:rsidR="00EC3EC1" w:rsidRPr="0045295C">
        <w:rPr>
          <w:rFonts w:ascii="Century Schoolbook" w:hAnsi="Century Schoolbook"/>
        </w:rPr>
        <w:t>provision of the American Rescue Plan Act (hereinafter, the “</w:t>
      </w:r>
      <w:r w:rsidR="00E010A7" w:rsidRPr="0045295C">
        <w:rPr>
          <w:rFonts w:ascii="Century Schoolbook" w:hAnsi="Century Schoolbook"/>
        </w:rPr>
        <w:t xml:space="preserve">Tax </w:t>
      </w:r>
      <w:r w:rsidR="00EC3EC1" w:rsidRPr="0045295C">
        <w:rPr>
          <w:rFonts w:ascii="Century Schoolbook" w:hAnsi="Century Schoolbook"/>
        </w:rPr>
        <w:t>Mandate”)</w:t>
      </w:r>
      <w:r w:rsidR="003A052E">
        <w:rPr>
          <w:rFonts w:ascii="Century Schoolbook" w:hAnsi="Century Schoolbook"/>
        </w:rPr>
        <w:t>,</w:t>
      </w:r>
      <w:r w:rsidR="00EC3EC1" w:rsidRPr="0045295C">
        <w:rPr>
          <w:rFonts w:ascii="Century Schoolbook" w:hAnsi="Century Schoolbook"/>
        </w:rPr>
        <w:t xml:space="preserve"> </w:t>
      </w:r>
      <w:r w:rsidR="00E010A7" w:rsidRPr="0045295C">
        <w:rPr>
          <w:rFonts w:ascii="Century Schoolbook" w:hAnsi="Century Schoolbook"/>
        </w:rPr>
        <w:t xml:space="preserve">which </w:t>
      </w:r>
      <w:r w:rsidR="00EC3EC1" w:rsidRPr="0045295C">
        <w:rPr>
          <w:rFonts w:ascii="Century Schoolbook" w:hAnsi="Century Schoolbook"/>
        </w:rPr>
        <w:t xml:space="preserve">prohibits the States </w:t>
      </w:r>
      <w:r w:rsidR="00E010A7" w:rsidRPr="0045295C">
        <w:rPr>
          <w:rFonts w:ascii="Century Schoolbook" w:hAnsi="Century Schoolbook"/>
        </w:rPr>
        <w:t xml:space="preserve">from using ARPA moneys to “either directly or indirectly offset” any reduction in net tax revenue as a result of a tax policy change. </w:t>
      </w:r>
      <w:r w:rsidR="00E010A7" w:rsidRPr="0045295C">
        <w:rPr>
          <w:rFonts w:ascii="Century Schoolbook" w:hAnsi="Century Schoolbook"/>
          <w:i/>
        </w:rPr>
        <w:t>See</w:t>
      </w:r>
      <w:r w:rsidR="00E010A7" w:rsidRPr="0045295C">
        <w:rPr>
          <w:rFonts w:ascii="Century Schoolbook" w:hAnsi="Century Schoolbook"/>
        </w:rPr>
        <w:t xml:space="preserve"> American Rescue Plan Act of 2021, Pub. L. No. 117-2 § 9901 (2021)</w:t>
      </w:r>
      <w:r w:rsidR="0085001F">
        <w:rPr>
          <w:rFonts w:ascii="Century Schoolbook" w:hAnsi="Century Schoolbook"/>
        </w:rPr>
        <w:fldChar w:fldCharType="begin"/>
      </w:r>
      <w:r w:rsidR="0085001F">
        <w:instrText xml:space="preserve"> TA \l "</w:instrText>
      </w:r>
      <w:r w:rsidR="0085001F" w:rsidRPr="00A31B6A">
        <w:rPr>
          <w:rFonts w:ascii="Century Schoolbook" w:hAnsi="Century Schoolbook"/>
        </w:rPr>
        <w:instrText>American Rescue Plan Act of 2021, Pub. L. No. 117-2 § 9901 (2021)</w:instrText>
      </w:r>
      <w:r w:rsidR="0085001F">
        <w:instrText xml:space="preserve">" \s "American Rescue Plan Act of 2021, Pub. L. No. 117-2 § 9901 (2021)" \c 3 </w:instrText>
      </w:r>
      <w:r w:rsidR="0085001F">
        <w:rPr>
          <w:rFonts w:ascii="Century Schoolbook" w:hAnsi="Century Schoolbook"/>
        </w:rPr>
        <w:fldChar w:fldCharType="end"/>
      </w:r>
      <w:r w:rsidR="00E010A7" w:rsidRPr="0045295C">
        <w:rPr>
          <w:rFonts w:ascii="Century Schoolbook" w:hAnsi="Century Schoolbook"/>
        </w:rPr>
        <w:t xml:space="preserve"> (adding § 602(c)(2)(A) to the Social Security Act (42 U.S.C. § 801</w:t>
      </w:r>
      <w:r w:rsidR="00524D83">
        <w:rPr>
          <w:rFonts w:ascii="Century Schoolbook" w:hAnsi="Century Schoolbook"/>
        </w:rPr>
        <w:t xml:space="preserve"> </w:t>
      </w:r>
      <w:r w:rsidR="00524D83">
        <w:rPr>
          <w:rFonts w:ascii="Century Schoolbook" w:hAnsi="Century Schoolbook"/>
          <w:i/>
        </w:rPr>
        <w:t>et seq.</w:t>
      </w:r>
      <w:r w:rsidR="00524D83">
        <w:rPr>
          <w:rFonts w:ascii="Century Schoolbook" w:hAnsi="Century Schoolbook"/>
          <w:i/>
        </w:rPr>
        <w:fldChar w:fldCharType="begin"/>
      </w:r>
      <w:r w:rsidR="00524D83">
        <w:instrText xml:space="preserve"> TA \l "</w:instrText>
      </w:r>
      <w:r w:rsidR="00524D83" w:rsidRPr="006C2A7E">
        <w:rPr>
          <w:rFonts w:ascii="Century Schoolbook" w:hAnsi="Century Schoolbook"/>
        </w:rPr>
        <w:instrText xml:space="preserve">42 U.S.C. § 801 </w:instrText>
      </w:r>
      <w:r w:rsidR="00524D83" w:rsidRPr="006C2A7E">
        <w:rPr>
          <w:rFonts w:ascii="Century Schoolbook" w:hAnsi="Century Schoolbook"/>
          <w:i/>
        </w:rPr>
        <w:instrText>et seq.</w:instrText>
      </w:r>
      <w:r w:rsidR="00524D83">
        <w:instrText xml:space="preserve">" \s "42 U.S.C. § 801 et seq." \c 2 </w:instrText>
      </w:r>
      <w:r w:rsidR="00524D83">
        <w:rPr>
          <w:rFonts w:ascii="Century Schoolbook" w:hAnsi="Century Schoolbook"/>
          <w:i/>
        </w:rPr>
        <w:fldChar w:fldCharType="end"/>
      </w:r>
      <w:r w:rsidR="00E010A7" w:rsidRPr="0045295C">
        <w:rPr>
          <w:rFonts w:ascii="Century Schoolbook" w:hAnsi="Century Schoolbook"/>
        </w:rPr>
        <w:t xml:space="preserve">)). </w:t>
      </w:r>
      <w:r w:rsidR="00EC3EC1" w:rsidRPr="0045295C">
        <w:rPr>
          <w:rFonts w:ascii="Century Schoolbook" w:hAnsi="Century Schoolbook"/>
        </w:rPr>
        <w:t xml:space="preserve">Any state that violates this provision </w:t>
      </w:r>
      <w:r w:rsidR="00531B62" w:rsidRPr="0045295C">
        <w:rPr>
          <w:rFonts w:ascii="Century Schoolbook" w:hAnsi="Century Schoolbook"/>
        </w:rPr>
        <w:t xml:space="preserve">is </w:t>
      </w:r>
      <w:r w:rsidR="00EC3EC1" w:rsidRPr="0045295C">
        <w:rPr>
          <w:rFonts w:ascii="Century Schoolbook" w:hAnsi="Century Schoolbook"/>
        </w:rPr>
        <w:t xml:space="preserve">required to repay funds to the Treasury. </w:t>
      </w:r>
      <w:r w:rsidR="00EC3EC1" w:rsidRPr="0045295C">
        <w:rPr>
          <w:rFonts w:ascii="Century Schoolbook" w:hAnsi="Century Schoolbook"/>
          <w:i/>
        </w:rPr>
        <w:t>Id</w:t>
      </w:r>
      <w:r w:rsidR="00524D83">
        <w:rPr>
          <w:rFonts w:ascii="Century Schoolbook" w:hAnsi="Century Schoolbook"/>
          <w:i/>
        </w:rPr>
        <w:fldChar w:fldCharType="begin"/>
      </w:r>
      <w:r w:rsidR="00524D83">
        <w:instrText xml:space="preserve"> TA \s "American Rescue Plan Act of 2021, Pub. L. No. 117-2 § 9901 (2021)" </w:instrText>
      </w:r>
      <w:r w:rsidR="00524D83">
        <w:rPr>
          <w:rFonts w:ascii="Century Schoolbook" w:hAnsi="Century Schoolbook"/>
          <w:i/>
        </w:rPr>
        <w:fldChar w:fldCharType="end"/>
      </w:r>
      <w:r w:rsidR="00EC3EC1" w:rsidRPr="0045295C">
        <w:rPr>
          <w:rFonts w:ascii="Century Schoolbook" w:hAnsi="Century Schoolbook"/>
          <w:i/>
        </w:rPr>
        <w:t>.</w:t>
      </w:r>
    </w:p>
    <w:p w:rsidR="00325F34" w:rsidRDefault="00B56005" w:rsidP="004F6A8A">
      <w:pPr>
        <w:pStyle w:val="Body"/>
        <w:tabs>
          <w:tab w:val="center" w:pos="5040"/>
        </w:tabs>
        <w:jc w:val="both"/>
        <w:rPr>
          <w:rFonts w:ascii="Century Schoolbook" w:hAnsi="Century Schoolbook"/>
        </w:rPr>
      </w:pPr>
      <w:r w:rsidRPr="0045295C">
        <w:rPr>
          <w:rFonts w:ascii="Century Schoolbook" w:hAnsi="Century Schoolbook"/>
        </w:rPr>
        <w:t xml:space="preserve">Although Congress may impose conditions on the States in exchange for the receipt of federal money, this power is limited. </w:t>
      </w:r>
      <w:r w:rsidRPr="0045295C">
        <w:rPr>
          <w:rFonts w:ascii="Century Schoolbook" w:hAnsi="Century Schoolbook"/>
          <w:i/>
        </w:rPr>
        <w:t>S</w:t>
      </w:r>
      <w:r w:rsidR="003A052E">
        <w:rPr>
          <w:rFonts w:ascii="Century Schoolbook" w:hAnsi="Century Schoolbook"/>
          <w:i/>
        </w:rPr>
        <w:t>outh</w:t>
      </w:r>
      <w:r w:rsidRPr="0045295C">
        <w:rPr>
          <w:rFonts w:ascii="Century Schoolbook" w:hAnsi="Century Schoolbook"/>
          <w:i/>
        </w:rPr>
        <w:t xml:space="preserve"> Dakota v. Dole</w:t>
      </w:r>
      <w:r w:rsidRPr="0045295C">
        <w:rPr>
          <w:rFonts w:ascii="Century Schoolbook" w:hAnsi="Century Schoolbook"/>
        </w:rPr>
        <w:t>, 483 U.S. 203, 206 (1987)</w:t>
      </w:r>
      <w:r w:rsidR="00524D83">
        <w:rPr>
          <w:rFonts w:ascii="Century Schoolbook" w:hAnsi="Century Schoolbook"/>
        </w:rPr>
        <w:fldChar w:fldCharType="begin"/>
      </w:r>
      <w:r w:rsidR="00524D83">
        <w:instrText xml:space="preserve"> TA \l "</w:instrText>
      </w:r>
      <w:r w:rsidR="00524D83" w:rsidRPr="00D06685">
        <w:rPr>
          <w:rFonts w:ascii="Century Schoolbook" w:hAnsi="Century Schoolbook"/>
          <w:i/>
        </w:rPr>
        <w:instrText>South Dakota v. Dole</w:instrText>
      </w:r>
      <w:r w:rsidR="00524D83" w:rsidRPr="00D06685">
        <w:rPr>
          <w:rFonts w:ascii="Century Schoolbook" w:hAnsi="Century Schoolbook"/>
        </w:rPr>
        <w:instrText xml:space="preserve">, </w:instrText>
      </w:r>
      <w:r w:rsidR="00524D83" w:rsidRPr="00D06685">
        <w:rPr>
          <w:rFonts w:ascii="Century Schoolbook" w:hAnsi="Century Schoolbook"/>
        </w:rPr>
        <w:br/>
        <w:instrText>483 U.S. 203 (1987)</w:instrText>
      </w:r>
      <w:r w:rsidR="00524D83">
        <w:instrText xml:space="preserve">" \s "South Dakota v. Dole, 483 U.S. 203, 206 (1987)" \c 1 </w:instrText>
      </w:r>
      <w:r w:rsidR="00524D83">
        <w:rPr>
          <w:rFonts w:ascii="Century Schoolbook" w:hAnsi="Century Schoolbook"/>
        </w:rPr>
        <w:fldChar w:fldCharType="end"/>
      </w:r>
      <w:r w:rsidRPr="0045295C">
        <w:rPr>
          <w:rFonts w:ascii="Century Schoolbook" w:hAnsi="Century Schoolbook"/>
        </w:rPr>
        <w:t xml:space="preserve">. </w:t>
      </w:r>
      <w:r w:rsidR="009C612F">
        <w:rPr>
          <w:rFonts w:ascii="Century Schoolbook" w:hAnsi="Century Schoolbook"/>
        </w:rPr>
        <w:t>Ohio</w:t>
      </w:r>
      <w:r w:rsidR="002627C5" w:rsidRPr="0045295C">
        <w:rPr>
          <w:rFonts w:ascii="Century Schoolbook" w:hAnsi="Century Schoolbook"/>
        </w:rPr>
        <w:t xml:space="preserve"> has correctly argued that this provision</w:t>
      </w:r>
      <w:r w:rsidRPr="0045295C">
        <w:rPr>
          <w:rFonts w:ascii="Century Schoolbook" w:hAnsi="Century Schoolbook"/>
        </w:rPr>
        <w:t xml:space="preserve"> </w:t>
      </w:r>
      <w:r w:rsidR="002627C5" w:rsidRPr="0045295C">
        <w:rPr>
          <w:rFonts w:ascii="Century Schoolbook" w:hAnsi="Century Schoolbook"/>
        </w:rPr>
        <w:t xml:space="preserve">coerces their </w:t>
      </w:r>
      <w:r w:rsidRPr="0045295C">
        <w:rPr>
          <w:rFonts w:ascii="Century Schoolbook" w:hAnsi="Century Schoolbook"/>
        </w:rPr>
        <w:t xml:space="preserve">agreement and is fatally ambiguous. </w:t>
      </w:r>
    </w:p>
    <w:p w:rsidR="009C612F" w:rsidRPr="0045295C" w:rsidRDefault="009C612F" w:rsidP="004F6A8A">
      <w:pPr>
        <w:pStyle w:val="Body"/>
        <w:tabs>
          <w:tab w:val="center" w:pos="5040"/>
        </w:tabs>
        <w:jc w:val="both"/>
        <w:rPr>
          <w:rFonts w:ascii="Century Schoolbook" w:hAnsi="Century Schoolbook"/>
        </w:rPr>
      </w:pPr>
      <w:r>
        <w:rPr>
          <w:rFonts w:ascii="Century Schoolbook" w:hAnsi="Century Schoolbook"/>
        </w:rPr>
        <w:t xml:space="preserve">The Federal Government argues in the main that—although Ohio has cut taxes and accepted funds under ARPA—Ohio nonetheless fails to present a justiciable controversy. This argument misapprehends State standing under Article III in several ways and fails to appreciate the significant sovereign interests implicated by the Tax Mandate. This Court should </w:t>
      </w:r>
      <w:r w:rsidR="00DD5C83">
        <w:rPr>
          <w:rFonts w:ascii="Century Schoolbook" w:hAnsi="Century Schoolbook"/>
        </w:rPr>
        <w:t>reject these arguments</w:t>
      </w:r>
      <w:r>
        <w:rPr>
          <w:rFonts w:ascii="Century Schoolbook" w:hAnsi="Century Schoolbook"/>
        </w:rPr>
        <w:t>.</w:t>
      </w:r>
    </w:p>
    <w:p w:rsidR="0027782D" w:rsidRPr="0045295C" w:rsidRDefault="0027782D" w:rsidP="0027249C">
      <w:pPr>
        <w:pStyle w:val="Title"/>
        <w:rPr>
          <w:rStyle w:val="Strong"/>
        </w:rPr>
      </w:pPr>
      <w:bookmarkStart w:id="16" w:name="_Toc77693846"/>
      <w:r w:rsidRPr="0045295C">
        <w:rPr>
          <w:rStyle w:val="Strong"/>
        </w:rPr>
        <w:t>ARGUMENT</w:t>
      </w:r>
      <w:bookmarkEnd w:id="16"/>
    </w:p>
    <w:p w:rsidR="004900C8" w:rsidRPr="0045295C" w:rsidRDefault="00DD5C83" w:rsidP="003A052E">
      <w:pPr>
        <w:pStyle w:val="Body"/>
        <w:jc w:val="both"/>
        <w:rPr>
          <w:rFonts w:ascii="Century Schoolbook" w:hAnsi="Century Schoolbook"/>
        </w:rPr>
      </w:pPr>
      <w:r>
        <w:rPr>
          <w:rFonts w:ascii="Century Schoolbook" w:hAnsi="Century Schoolbook"/>
        </w:rPr>
        <w:t xml:space="preserve">The government’s argument against Ohio’s standing commits a </w:t>
      </w:r>
      <w:r w:rsidRPr="0045295C">
        <w:rPr>
          <w:rFonts w:ascii="Century Schoolbook" w:hAnsi="Century Schoolbook"/>
        </w:rPr>
        <w:t>fundamental</w:t>
      </w:r>
      <w:r w:rsidR="004900C8" w:rsidRPr="0045295C">
        <w:rPr>
          <w:rFonts w:ascii="Century Schoolbook" w:hAnsi="Century Schoolbook"/>
        </w:rPr>
        <w:t xml:space="preserve"> error. </w:t>
      </w:r>
      <w:r>
        <w:rPr>
          <w:rFonts w:ascii="Century Schoolbook" w:hAnsi="Century Schoolbook"/>
        </w:rPr>
        <w:t xml:space="preserve">By relying </w:t>
      </w:r>
      <w:r w:rsidR="004900C8" w:rsidRPr="0045295C">
        <w:rPr>
          <w:rFonts w:ascii="Century Schoolbook" w:hAnsi="Century Schoolbook"/>
        </w:rPr>
        <w:t xml:space="preserve">entirely on </w:t>
      </w:r>
      <w:r w:rsidR="004900C8" w:rsidRPr="003A052E">
        <w:rPr>
          <w:rFonts w:ascii="Century Schoolbook" w:hAnsi="Century Schoolbook"/>
          <w:i/>
          <w:iCs w:val="0"/>
        </w:rPr>
        <w:t>enforcement</w:t>
      </w:r>
      <w:r w:rsidR="004900C8" w:rsidRPr="0045295C">
        <w:rPr>
          <w:rFonts w:ascii="Century Schoolbook" w:hAnsi="Century Schoolbook"/>
        </w:rPr>
        <w:t xml:space="preserve"> of the Tax Mandate as the only source </w:t>
      </w:r>
      <w:r>
        <w:rPr>
          <w:rFonts w:ascii="Century Schoolbook" w:hAnsi="Century Schoolbook"/>
        </w:rPr>
        <w:t xml:space="preserve">of </w:t>
      </w:r>
      <w:r w:rsidR="004900C8" w:rsidRPr="0045295C">
        <w:rPr>
          <w:rFonts w:ascii="Century Schoolbook" w:hAnsi="Century Schoolbook"/>
        </w:rPr>
        <w:t>injury-in-</w:t>
      </w:r>
      <w:r>
        <w:rPr>
          <w:rFonts w:ascii="Century Schoolbook" w:hAnsi="Century Schoolbook"/>
        </w:rPr>
        <w:t>f</w:t>
      </w:r>
      <w:r w:rsidR="004900C8" w:rsidRPr="0045295C">
        <w:rPr>
          <w:rFonts w:ascii="Century Schoolbook" w:hAnsi="Century Schoolbook"/>
        </w:rPr>
        <w:t>act</w:t>
      </w:r>
      <w:r>
        <w:rPr>
          <w:rFonts w:ascii="Century Schoolbook" w:hAnsi="Century Schoolbook"/>
        </w:rPr>
        <w:t>,</w:t>
      </w:r>
      <w:r w:rsidR="004900C8" w:rsidRPr="0045295C">
        <w:rPr>
          <w:rFonts w:ascii="Century Schoolbook" w:hAnsi="Century Schoolbook"/>
        </w:rPr>
        <w:t xml:space="preserve"> </w:t>
      </w:r>
      <w:r>
        <w:rPr>
          <w:rFonts w:ascii="Century Schoolbook" w:hAnsi="Century Schoolbook"/>
        </w:rPr>
        <w:t>the</w:t>
      </w:r>
      <w:r w:rsidR="005B20BA">
        <w:rPr>
          <w:rFonts w:ascii="Century Schoolbook" w:hAnsi="Century Schoolbook"/>
        </w:rPr>
        <w:t xml:space="preserve"> government overlooks </w:t>
      </w:r>
      <w:r w:rsidR="003A052E">
        <w:rPr>
          <w:rFonts w:ascii="Century Schoolbook" w:hAnsi="Century Schoolbook"/>
        </w:rPr>
        <w:t>numerous</w:t>
      </w:r>
      <w:r w:rsidR="004900C8" w:rsidRPr="0045295C">
        <w:rPr>
          <w:rFonts w:ascii="Century Schoolbook" w:hAnsi="Century Schoolbook"/>
        </w:rPr>
        <w:t xml:space="preserve"> other ways in which </w:t>
      </w:r>
      <w:r>
        <w:rPr>
          <w:rFonts w:ascii="Century Schoolbook" w:hAnsi="Century Schoolbook"/>
        </w:rPr>
        <w:t xml:space="preserve">states can suffer </w:t>
      </w:r>
      <w:r w:rsidR="004900C8" w:rsidRPr="0045295C">
        <w:rPr>
          <w:rFonts w:ascii="Century Schoolbook" w:hAnsi="Century Schoolbook"/>
        </w:rPr>
        <w:t xml:space="preserve">concrete injury </w:t>
      </w:r>
      <w:r w:rsidR="005E0CBE">
        <w:rPr>
          <w:rFonts w:ascii="Century Schoolbook" w:hAnsi="Century Schoolbook"/>
        </w:rPr>
        <w:t>from the Tax Mandate</w:t>
      </w:r>
      <w:r w:rsidR="005B20BA">
        <w:rPr>
          <w:rFonts w:ascii="Century Schoolbook" w:hAnsi="Century Schoolbook"/>
        </w:rPr>
        <w:t>. This</w:t>
      </w:r>
      <w:r w:rsidR="004900C8" w:rsidRPr="0045295C">
        <w:rPr>
          <w:rFonts w:ascii="Century Schoolbook" w:hAnsi="Century Schoolbook"/>
        </w:rPr>
        <w:t xml:space="preserve"> unduly narrows </w:t>
      </w:r>
      <w:r w:rsidR="005E0CBE">
        <w:rPr>
          <w:rFonts w:ascii="Century Schoolbook" w:hAnsi="Century Schoolbook"/>
        </w:rPr>
        <w:t>s</w:t>
      </w:r>
      <w:r w:rsidR="004900C8" w:rsidRPr="0045295C">
        <w:rPr>
          <w:rFonts w:ascii="Century Schoolbook" w:hAnsi="Century Schoolbook"/>
        </w:rPr>
        <w:t xml:space="preserve">tate standing to bring challenges to unconstitutional federal </w:t>
      </w:r>
      <w:r w:rsidR="005E0CBE">
        <w:rPr>
          <w:rFonts w:ascii="Century Schoolbook" w:hAnsi="Century Schoolbook"/>
        </w:rPr>
        <w:t>encroachment upon state sovereignty</w:t>
      </w:r>
      <w:r w:rsidR="004900C8" w:rsidRPr="0045295C">
        <w:rPr>
          <w:rFonts w:ascii="Century Schoolbook" w:hAnsi="Century Schoolbook"/>
        </w:rPr>
        <w:t>.</w:t>
      </w:r>
      <w:r w:rsidR="005B20BA">
        <w:rPr>
          <w:rFonts w:ascii="Century Schoolbook" w:hAnsi="Century Schoolbook"/>
        </w:rPr>
        <w:t xml:space="preserve"> Perhaps most clearly</w:t>
      </w:r>
      <w:r w:rsidR="00445BDC" w:rsidRPr="0045295C">
        <w:rPr>
          <w:rFonts w:ascii="Century Schoolbook" w:hAnsi="Century Schoolbook"/>
        </w:rPr>
        <w:t xml:space="preserve">, </w:t>
      </w:r>
      <w:r w:rsidR="00AF7461">
        <w:rPr>
          <w:rFonts w:ascii="Century Schoolbook" w:hAnsi="Century Schoolbook"/>
        </w:rPr>
        <w:t xml:space="preserve">Federal Defendants’ </w:t>
      </w:r>
      <w:r w:rsidR="00445BDC" w:rsidRPr="0045295C">
        <w:rPr>
          <w:rFonts w:ascii="Century Schoolbook" w:hAnsi="Century Schoolbook"/>
        </w:rPr>
        <w:t xml:space="preserve">fail to </w:t>
      </w:r>
      <w:r w:rsidR="00AF7461">
        <w:rPr>
          <w:rFonts w:ascii="Century Schoolbook" w:hAnsi="Century Schoolbook"/>
        </w:rPr>
        <w:t>address</w:t>
      </w:r>
      <w:r w:rsidR="00445BDC" w:rsidRPr="0045295C">
        <w:rPr>
          <w:rFonts w:ascii="Century Schoolbook" w:hAnsi="Century Schoolbook"/>
        </w:rPr>
        <w:t xml:space="preserve"> any of the </w:t>
      </w:r>
      <w:proofErr w:type="gramStart"/>
      <w:r w:rsidR="00445BDC" w:rsidRPr="0045295C">
        <w:rPr>
          <w:rFonts w:ascii="Century Schoolbook" w:hAnsi="Century Schoolbook"/>
        </w:rPr>
        <w:t>costs</w:t>
      </w:r>
      <w:proofErr w:type="gramEnd"/>
      <w:r w:rsidR="00445BDC" w:rsidRPr="0045295C">
        <w:rPr>
          <w:rFonts w:ascii="Century Schoolbook" w:hAnsi="Century Schoolbook"/>
        </w:rPr>
        <w:t xml:space="preserve"> </w:t>
      </w:r>
      <w:r w:rsidR="005B20BA">
        <w:rPr>
          <w:rFonts w:ascii="Century Schoolbook" w:hAnsi="Century Schoolbook"/>
        </w:rPr>
        <w:t xml:space="preserve">states </w:t>
      </w:r>
      <w:r w:rsidR="00445BDC" w:rsidRPr="0045295C">
        <w:rPr>
          <w:rFonts w:ascii="Century Schoolbook" w:hAnsi="Century Schoolbook"/>
        </w:rPr>
        <w:t>face from the Tax Mandate</w:t>
      </w:r>
      <w:r w:rsidR="005B20BA">
        <w:rPr>
          <w:rFonts w:ascii="Century Schoolbook" w:hAnsi="Century Schoolbook"/>
        </w:rPr>
        <w:t xml:space="preserve"> as the regulated party</w:t>
      </w:r>
      <w:r w:rsidR="00445BDC" w:rsidRPr="0045295C">
        <w:rPr>
          <w:rFonts w:ascii="Century Schoolbook" w:hAnsi="Century Schoolbook"/>
        </w:rPr>
        <w:t xml:space="preserve">, particularly compliance costs. These </w:t>
      </w:r>
      <w:r w:rsidR="005E0CBE">
        <w:rPr>
          <w:rFonts w:ascii="Century Schoolbook" w:hAnsi="Century Schoolbook"/>
        </w:rPr>
        <w:t xml:space="preserve">direct </w:t>
      </w:r>
      <w:r w:rsidR="00445BDC" w:rsidRPr="0045295C">
        <w:rPr>
          <w:rFonts w:ascii="Century Schoolbook" w:hAnsi="Century Schoolbook"/>
        </w:rPr>
        <w:t>costs stem in part from the provision’s unconstitutional ambiguity, and alone suffice to show injury-in-fact.</w:t>
      </w:r>
    </w:p>
    <w:p w:rsidR="00C601CF" w:rsidRPr="0045295C" w:rsidRDefault="004900C8" w:rsidP="005E0CBE">
      <w:pPr>
        <w:pStyle w:val="Heading1"/>
        <w:jc w:val="both"/>
        <w:rPr>
          <w:rFonts w:ascii="Century Schoolbook" w:hAnsi="Century Schoolbook"/>
        </w:rPr>
      </w:pPr>
      <w:bookmarkStart w:id="17" w:name="_Toc77693847"/>
      <w:r w:rsidRPr="0045295C">
        <w:rPr>
          <w:rFonts w:ascii="Century Schoolbook" w:hAnsi="Century Schoolbook"/>
        </w:rPr>
        <w:t>A State Suffers</w:t>
      </w:r>
      <w:r w:rsidR="005E0CBE">
        <w:rPr>
          <w:rFonts w:ascii="Century Schoolbook" w:hAnsi="Century Schoolbook"/>
        </w:rPr>
        <w:t xml:space="preserve"> Immediate, Cognizable</w:t>
      </w:r>
      <w:r w:rsidRPr="0045295C">
        <w:rPr>
          <w:rFonts w:ascii="Century Schoolbook" w:hAnsi="Century Schoolbook"/>
        </w:rPr>
        <w:t xml:space="preserve"> Injury When It Is Presented With </w:t>
      </w:r>
      <w:r w:rsidR="00514944">
        <w:rPr>
          <w:rFonts w:ascii="Century Schoolbook" w:hAnsi="Century Schoolbook"/>
        </w:rPr>
        <w:t>A</w:t>
      </w:r>
      <w:r w:rsidR="005E0CBE">
        <w:rPr>
          <w:rFonts w:ascii="Century Schoolbook" w:hAnsi="Century Schoolbook"/>
        </w:rPr>
        <w:t xml:space="preserve">mbiguous </w:t>
      </w:r>
      <w:r w:rsidRPr="0045295C">
        <w:rPr>
          <w:rFonts w:ascii="Century Schoolbook" w:hAnsi="Century Schoolbook"/>
        </w:rPr>
        <w:t>Conditions</w:t>
      </w:r>
      <w:bookmarkEnd w:id="17"/>
    </w:p>
    <w:p w:rsidR="00C601CF" w:rsidRPr="0045295C" w:rsidRDefault="00C601CF" w:rsidP="005E0CBE">
      <w:pPr>
        <w:pStyle w:val="Body"/>
        <w:jc w:val="both"/>
        <w:rPr>
          <w:rFonts w:ascii="Century Schoolbook" w:hAnsi="Century Schoolbook"/>
        </w:rPr>
      </w:pPr>
      <w:r w:rsidRPr="0045295C">
        <w:rPr>
          <w:rFonts w:ascii="Century Schoolbook" w:hAnsi="Century Schoolbook"/>
        </w:rPr>
        <w:t xml:space="preserve">A plaintiff has standing if he can “allege personal injury fairly traceable to the defendant’s allegedly unlawful conduct and likely to be redressed by the requested relief.” </w:t>
      </w:r>
      <w:bookmarkStart w:id="18" w:name="dabmci_663fae76bb8a457e9470bfa97959a0d5"/>
      <w:bookmarkStart w:id="19" w:name="dabmrv_663fae76bb8a457e9470bfa97959a0d5"/>
      <w:r w:rsidRPr="0045295C">
        <w:rPr>
          <w:rFonts w:ascii="Century Schoolbook" w:hAnsi="Century Schoolbook"/>
          <w:i/>
        </w:rPr>
        <w:t>California v. Texas</w:t>
      </w:r>
      <w:r w:rsidRPr="0045295C">
        <w:rPr>
          <w:rFonts w:ascii="Century Schoolbook" w:hAnsi="Century Schoolbook"/>
        </w:rPr>
        <w:t>, 141 S. Ct. 2104, 2113 (2021)</w:t>
      </w:r>
      <w:bookmarkEnd w:id="18"/>
      <w:bookmarkEnd w:id="19"/>
      <w:r w:rsidR="00524D83">
        <w:rPr>
          <w:rFonts w:ascii="Century Schoolbook" w:hAnsi="Century Schoolbook"/>
        </w:rPr>
        <w:fldChar w:fldCharType="begin"/>
      </w:r>
      <w:r w:rsidR="00524D83">
        <w:instrText xml:space="preserve"> TA \l "</w:instrText>
      </w:r>
      <w:r w:rsidR="00524D83" w:rsidRPr="00B53A13">
        <w:rPr>
          <w:rFonts w:ascii="Century Schoolbook" w:hAnsi="Century Schoolbook"/>
          <w:i/>
        </w:rPr>
        <w:instrText>California v. Texas</w:instrText>
      </w:r>
      <w:r w:rsidR="00524D83" w:rsidRPr="00B53A13">
        <w:rPr>
          <w:rFonts w:ascii="Century Schoolbook" w:hAnsi="Century Schoolbook"/>
        </w:rPr>
        <w:instrText xml:space="preserve">, </w:instrText>
      </w:r>
      <w:r w:rsidR="00524D83" w:rsidRPr="00B53A13">
        <w:rPr>
          <w:rFonts w:ascii="Century Schoolbook" w:hAnsi="Century Schoolbook"/>
        </w:rPr>
        <w:br/>
        <w:instrText>141 S. Ct. 2104 (2021)</w:instrText>
      </w:r>
      <w:r w:rsidR="00524D83">
        <w:instrText xml:space="preserve">" \s "California v. Texas, 141 S. Ct. 2104, 2113 (2021)" \c 1 </w:instrText>
      </w:r>
      <w:r w:rsidR="00524D83">
        <w:rPr>
          <w:rFonts w:ascii="Century Schoolbook" w:hAnsi="Century Schoolbook"/>
        </w:rPr>
        <w:fldChar w:fldCharType="end"/>
      </w:r>
      <w:r w:rsidRPr="0045295C">
        <w:rPr>
          <w:rFonts w:ascii="Century Schoolbook" w:hAnsi="Century Schoolbook"/>
        </w:rPr>
        <w:t xml:space="preserve">. For purposes of evaluating whether jurisdiction exists, this Court “must assume </w:t>
      </w:r>
      <w:r w:rsidR="00AF3E31">
        <w:rPr>
          <w:rFonts w:ascii="Century Schoolbook" w:hAnsi="Century Schoolbook"/>
          <w:i/>
        </w:rPr>
        <w:t>arguendo</w:t>
      </w:r>
      <w:r w:rsidR="00942ADE">
        <w:rPr>
          <w:rFonts w:ascii="Century Schoolbook" w:hAnsi="Century Schoolbook"/>
          <w:i/>
        </w:rPr>
        <w:t xml:space="preserve"> </w:t>
      </w:r>
      <w:r w:rsidRPr="0045295C">
        <w:rPr>
          <w:rFonts w:ascii="Century Schoolbook" w:hAnsi="Century Schoolbook"/>
        </w:rPr>
        <w:t xml:space="preserve">the merits of [the State’s] legal claim.” </w:t>
      </w:r>
      <w:bookmarkStart w:id="20" w:name="dabmci_ece1b91efbc64cb794f21bebbe493df0"/>
      <w:r w:rsidRPr="0045295C">
        <w:rPr>
          <w:rFonts w:ascii="Century Schoolbook" w:hAnsi="Century Schoolbook"/>
          <w:i/>
        </w:rPr>
        <w:t>Parker v. D.C.</w:t>
      </w:r>
      <w:r w:rsidRPr="0045295C">
        <w:rPr>
          <w:rFonts w:ascii="Century Schoolbook" w:hAnsi="Century Schoolbook"/>
        </w:rPr>
        <w:t>, 478 F.3d 370, 377 (D.C. Cir. 2007)</w:t>
      </w:r>
      <w:bookmarkEnd w:id="20"/>
      <w:r w:rsidR="00524D83">
        <w:rPr>
          <w:rFonts w:ascii="Century Schoolbook" w:hAnsi="Century Schoolbook"/>
        </w:rPr>
        <w:fldChar w:fldCharType="begin"/>
      </w:r>
      <w:r w:rsidR="00524D83">
        <w:instrText xml:space="preserve"> TA \l "</w:instrText>
      </w:r>
      <w:r w:rsidR="00524D83" w:rsidRPr="00A94CB8">
        <w:rPr>
          <w:rFonts w:ascii="Century Schoolbook" w:hAnsi="Century Schoolbook"/>
          <w:i/>
        </w:rPr>
        <w:instrText>Parker v. D.C.</w:instrText>
      </w:r>
      <w:r w:rsidR="00524D83" w:rsidRPr="00A94CB8">
        <w:rPr>
          <w:rFonts w:ascii="Century Schoolbook" w:hAnsi="Century Schoolbook"/>
        </w:rPr>
        <w:instrText xml:space="preserve">, </w:instrText>
      </w:r>
      <w:r w:rsidR="00524D83" w:rsidRPr="00A94CB8">
        <w:rPr>
          <w:rFonts w:ascii="Century Schoolbook" w:hAnsi="Century Schoolbook"/>
        </w:rPr>
        <w:br/>
        <w:instrText>478 F.3d 370 (D.C. Cir. 2007)</w:instrText>
      </w:r>
      <w:r w:rsidR="00524D83">
        <w:instrText xml:space="preserve">" \s "Parker v. D.C., 478 F.3d 370, 377 (D.C. Cir. 2007)" \c 1 </w:instrText>
      </w:r>
      <w:r w:rsidR="00524D83">
        <w:rPr>
          <w:rFonts w:ascii="Century Schoolbook" w:hAnsi="Century Schoolbook"/>
        </w:rPr>
        <w:fldChar w:fldCharType="end"/>
      </w:r>
      <w:r w:rsidRPr="0045295C">
        <w:rPr>
          <w:rFonts w:ascii="Century Schoolbook" w:hAnsi="Century Schoolbook"/>
        </w:rPr>
        <w:t xml:space="preserve">. </w:t>
      </w:r>
    </w:p>
    <w:p w:rsidR="00325F34" w:rsidRPr="0045295C" w:rsidRDefault="00531B62" w:rsidP="005E0CBE">
      <w:pPr>
        <w:pStyle w:val="Body"/>
        <w:jc w:val="both"/>
        <w:rPr>
          <w:rFonts w:ascii="Century Schoolbook" w:hAnsi="Century Schoolbook"/>
        </w:rPr>
      </w:pPr>
      <w:r w:rsidRPr="0045295C">
        <w:rPr>
          <w:rFonts w:ascii="Century Schoolbook" w:hAnsi="Century Schoolbook"/>
        </w:rPr>
        <w:t>As noted, C</w:t>
      </w:r>
      <w:r w:rsidR="00325F34" w:rsidRPr="0045295C">
        <w:rPr>
          <w:rFonts w:ascii="Century Schoolbook" w:hAnsi="Century Schoolbook"/>
        </w:rPr>
        <w:t xml:space="preserve">ongress’s authority under the </w:t>
      </w:r>
      <w:r w:rsidR="005E0CBE">
        <w:rPr>
          <w:rFonts w:ascii="Century Schoolbook" w:hAnsi="Century Schoolbook"/>
        </w:rPr>
        <w:t>S</w:t>
      </w:r>
      <w:r w:rsidR="00325F34" w:rsidRPr="0045295C">
        <w:rPr>
          <w:rFonts w:ascii="Century Schoolbook" w:hAnsi="Century Schoolbook"/>
        </w:rPr>
        <w:t xml:space="preserve">pending </w:t>
      </w:r>
      <w:r w:rsidR="005E0CBE">
        <w:rPr>
          <w:rFonts w:ascii="Century Schoolbook" w:hAnsi="Century Schoolbook"/>
        </w:rPr>
        <w:t>C</w:t>
      </w:r>
      <w:r w:rsidR="00325F34" w:rsidRPr="0045295C">
        <w:rPr>
          <w:rFonts w:ascii="Century Schoolbook" w:hAnsi="Century Schoolbook"/>
        </w:rPr>
        <w:t xml:space="preserve">lause is </w:t>
      </w:r>
      <w:r w:rsidRPr="0045295C">
        <w:rPr>
          <w:rFonts w:ascii="Century Schoolbook" w:hAnsi="Century Schoolbook"/>
        </w:rPr>
        <w:t>subject to several specific limitations</w:t>
      </w:r>
      <w:r w:rsidR="005E0CBE">
        <w:rPr>
          <w:rFonts w:ascii="Century Schoolbook" w:hAnsi="Century Schoolbook"/>
        </w:rPr>
        <w:t xml:space="preserve"> and requirements</w:t>
      </w:r>
      <w:r w:rsidRPr="0045295C">
        <w:rPr>
          <w:rFonts w:ascii="Century Schoolbook" w:hAnsi="Century Schoolbook"/>
        </w:rPr>
        <w:t xml:space="preserve">, including that conditions placed on federal grants to states not be ambiguous, and that the federal government </w:t>
      </w:r>
      <w:r w:rsidR="005E0CBE">
        <w:rPr>
          <w:rFonts w:ascii="Century Schoolbook" w:hAnsi="Century Schoolbook"/>
        </w:rPr>
        <w:t>may not</w:t>
      </w:r>
      <w:r w:rsidRPr="0045295C">
        <w:rPr>
          <w:rFonts w:ascii="Century Schoolbook" w:hAnsi="Century Schoolbook"/>
        </w:rPr>
        <w:t xml:space="preserve"> coerce S</w:t>
      </w:r>
      <w:r w:rsidR="00F52872" w:rsidRPr="0045295C">
        <w:rPr>
          <w:rFonts w:ascii="Century Schoolbook" w:hAnsi="Century Schoolbook"/>
        </w:rPr>
        <w:t>tates to agree to conditions</w:t>
      </w:r>
      <w:r w:rsidR="00325F34" w:rsidRPr="0045295C">
        <w:rPr>
          <w:rFonts w:ascii="Century Schoolbook" w:hAnsi="Century Schoolbook"/>
        </w:rPr>
        <w:t>.</w:t>
      </w:r>
      <w:r w:rsidR="00F52872" w:rsidRPr="0045295C">
        <w:rPr>
          <w:rFonts w:ascii="Century Schoolbook" w:hAnsi="Century Schoolbook"/>
        </w:rPr>
        <w:t xml:space="preserve"> </w:t>
      </w:r>
      <w:r w:rsidR="00F52872" w:rsidRPr="0045295C">
        <w:rPr>
          <w:rFonts w:ascii="Century Schoolbook" w:hAnsi="Century Schoolbook"/>
          <w:i/>
        </w:rPr>
        <w:t>See</w:t>
      </w:r>
      <w:r w:rsidR="00325F34" w:rsidRPr="0045295C">
        <w:rPr>
          <w:rFonts w:ascii="Century Schoolbook" w:hAnsi="Century Schoolbook"/>
        </w:rPr>
        <w:t xml:space="preserve"> </w:t>
      </w:r>
      <w:r w:rsidR="00325F34" w:rsidRPr="0045295C">
        <w:rPr>
          <w:rFonts w:ascii="Century Schoolbook" w:hAnsi="Century Schoolbook"/>
          <w:i/>
        </w:rPr>
        <w:t>Dole</w:t>
      </w:r>
      <w:r w:rsidR="00325F34" w:rsidRPr="0045295C">
        <w:rPr>
          <w:rFonts w:ascii="Century Schoolbook" w:hAnsi="Century Schoolbook"/>
        </w:rPr>
        <w:t xml:space="preserve">, 483 U.S. </w:t>
      </w:r>
      <w:r w:rsidR="0083706A">
        <w:rPr>
          <w:rFonts w:ascii="Century Schoolbook" w:hAnsi="Century Schoolbook"/>
        </w:rPr>
        <w:t>at</w:t>
      </w:r>
      <w:r w:rsidR="00325F34" w:rsidRPr="0045295C">
        <w:rPr>
          <w:rFonts w:ascii="Century Schoolbook" w:hAnsi="Century Schoolbook"/>
        </w:rPr>
        <w:t xml:space="preserve"> 207-08</w:t>
      </w:r>
      <w:r w:rsidR="00524D83">
        <w:rPr>
          <w:rFonts w:ascii="Century Schoolbook" w:hAnsi="Century Schoolbook"/>
        </w:rPr>
        <w:fldChar w:fldCharType="begin"/>
      </w:r>
      <w:r w:rsidR="00524D83">
        <w:instrText xml:space="preserve"> TA \s "South Dakota v. Dole, 483 U.S. 203, 206 (1987)" </w:instrText>
      </w:r>
      <w:r w:rsidR="00524D83">
        <w:rPr>
          <w:rFonts w:ascii="Century Schoolbook" w:hAnsi="Century Schoolbook"/>
        </w:rPr>
        <w:fldChar w:fldCharType="end"/>
      </w:r>
      <w:r w:rsidR="00325F34" w:rsidRPr="0045295C">
        <w:rPr>
          <w:rFonts w:ascii="Century Schoolbook" w:hAnsi="Century Schoolbook"/>
        </w:rPr>
        <w:t xml:space="preserve">. In </w:t>
      </w:r>
      <w:r w:rsidR="00325F34" w:rsidRPr="0045295C">
        <w:rPr>
          <w:rFonts w:ascii="Century Schoolbook" w:hAnsi="Century Schoolbook"/>
          <w:i/>
        </w:rPr>
        <w:t>NFIB</w:t>
      </w:r>
      <w:r w:rsidR="00325F34" w:rsidRPr="0045295C">
        <w:rPr>
          <w:rFonts w:ascii="Century Schoolbook" w:hAnsi="Century Schoolbook"/>
        </w:rPr>
        <w:t xml:space="preserve">, the Supreme Court </w:t>
      </w:r>
      <w:r w:rsidR="005E0CBE">
        <w:rPr>
          <w:rFonts w:ascii="Century Schoolbook" w:hAnsi="Century Schoolbook"/>
        </w:rPr>
        <w:t xml:space="preserve">explained that </w:t>
      </w:r>
      <w:r w:rsidR="00325F34" w:rsidRPr="0045295C">
        <w:rPr>
          <w:rFonts w:ascii="Century Schoolbook" w:hAnsi="Century Schoolbook"/>
        </w:rPr>
        <w:t>the ability of States to “voluntarily and knowingly” accept spending conditions “is critical to ensuring that Spending Clause legislation”</w:t>
      </w:r>
      <w:r w:rsidR="00A10CFB" w:rsidRPr="0045295C">
        <w:rPr>
          <w:rFonts w:ascii="Century Schoolbook" w:hAnsi="Century Schoolbook"/>
        </w:rPr>
        <w:t xml:space="preserve"> respects the constitutionally enshrined separate sovereignty of the </w:t>
      </w:r>
      <w:r w:rsidR="00BA153D">
        <w:rPr>
          <w:rFonts w:ascii="Century Schoolbook" w:hAnsi="Century Schoolbook"/>
        </w:rPr>
        <w:t>S</w:t>
      </w:r>
      <w:r w:rsidR="00BA153D" w:rsidRPr="0045295C">
        <w:rPr>
          <w:rFonts w:ascii="Century Schoolbook" w:hAnsi="Century Schoolbook"/>
        </w:rPr>
        <w:t>tates</w:t>
      </w:r>
      <w:r w:rsidR="00A10CFB" w:rsidRPr="0045295C">
        <w:rPr>
          <w:rFonts w:ascii="Century Schoolbook" w:hAnsi="Century Schoolbook"/>
        </w:rPr>
        <w:t>.</w:t>
      </w:r>
      <w:r w:rsidR="00325F34" w:rsidRPr="0045295C">
        <w:rPr>
          <w:rFonts w:ascii="Century Schoolbook" w:hAnsi="Century Schoolbook"/>
        </w:rPr>
        <w:t xml:space="preserve"> </w:t>
      </w:r>
      <w:r w:rsidR="00A10CFB" w:rsidRPr="0045295C">
        <w:rPr>
          <w:rFonts w:ascii="Century Schoolbook" w:hAnsi="Century Schoolbook"/>
          <w:i/>
        </w:rPr>
        <w:t>NFIB</w:t>
      </w:r>
      <w:r w:rsidR="00325F34" w:rsidRPr="0045295C">
        <w:rPr>
          <w:rFonts w:ascii="Century Schoolbook" w:hAnsi="Century Schoolbook"/>
        </w:rPr>
        <w:t xml:space="preserve">, 567 U.S. </w:t>
      </w:r>
      <w:r w:rsidR="00A10CFB" w:rsidRPr="0045295C">
        <w:rPr>
          <w:rFonts w:ascii="Century Schoolbook" w:hAnsi="Century Schoolbook"/>
        </w:rPr>
        <w:t xml:space="preserve">at </w:t>
      </w:r>
      <w:r w:rsidR="00325F34" w:rsidRPr="0045295C">
        <w:rPr>
          <w:rFonts w:ascii="Century Schoolbook" w:hAnsi="Century Schoolbook"/>
        </w:rPr>
        <w:t>577</w:t>
      </w:r>
      <w:r w:rsidR="00524D83">
        <w:rPr>
          <w:rFonts w:ascii="Century Schoolbook" w:hAnsi="Century Schoolbook"/>
        </w:rPr>
        <w:fldChar w:fldCharType="begin"/>
      </w:r>
      <w:r w:rsidR="00524D83">
        <w:instrText xml:space="preserve"> TA \s "Nat’l Fed’n of Indep. Bus. v. Sebelius (\"NFIB\"), 567 U.S. 519, 577 (2012)" </w:instrText>
      </w:r>
      <w:r w:rsidR="00524D83">
        <w:rPr>
          <w:rFonts w:ascii="Century Schoolbook" w:hAnsi="Century Schoolbook"/>
        </w:rPr>
        <w:fldChar w:fldCharType="end"/>
      </w:r>
      <w:r w:rsidR="00325F34" w:rsidRPr="0045295C">
        <w:rPr>
          <w:rFonts w:ascii="Century Schoolbook" w:hAnsi="Century Schoolbook"/>
        </w:rPr>
        <w:t xml:space="preserve">. Under </w:t>
      </w:r>
      <w:r w:rsidR="00A10CFB" w:rsidRPr="0045295C">
        <w:rPr>
          <w:rFonts w:ascii="Century Schoolbook" w:hAnsi="Century Schoolbook"/>
        </w:rPr>
        <w:t xml:space="preserve">this federal system, </w:t>
      </w:r>
      <w:r w:rsidR="00325F34" w:rsidRPr="0045295C">
        <w:rPr>
          <w:rFonts w:ascii="Century Schoolbook" w:hAnsi="Century Schoolbook"/>
        </w:rPr>
        <w:t>Congress may neither “</w:t>
      </w:r>
      <w:proofErr w:type="gramStart"/>
      <w:r w:rsidR="00325F34" w:rsidRPr="0045295C">
        <w:rPr>
          <w:rFonts w:ascii="Century Schoolbook" w:hAnsi="Century Schoolbook"/>
        </w:rPr>
        <w:t>command[</w:t>
      </w:r>
      <w:proofErr w:type="gramEnd"/>
      <w:r w:rsidR="00325F34" w:rsidRPr="0045295C">
        <w:rPr>
          <w:rFonts w:ascii="Century Schoolbook" w:hAnsi="Century Schoolbook"/>
        </w:rPr>
        <w:t xml:space="preserve">] a State to regulate or indirectly coerce[] a State to adopt a federal regulatory system as its own.” </w:t>
      </w:r>
      <w:r w:rsidR="00325F34" w:rsidRPr="0045295C">
        <w:rPr>
          <w:rFonts w:ascii="Century Schoolbook" w:hAnsi="Century Schoolbook"/>
          <w:i/>
        </w:rPr>
        <w:t xml:space="preserve">Id. </w:t>
      </w:r>
      <w:r w:rsidR="00325F34" w:rsidRPr="0045295C">
        <w:rPr>
          <w:rFonts w:ascii="Century Schoolbook" w:hAnsi="Century Schoolbook"/>
        </w:rPr>
        <w:t>at 578</w:t>
      </w:r>
      <w:r w:rsidR="00524D83">
        <w:rPr>
          <w:rFonts w:ascii="Century Schoolbook" w:hAnsi="Century Schoolbook"/>
        </w:rPr>
        <w:fldChar w:fldCharType="begin"/>
      </w:r>
      <w:r w:rsidR="00524D83">
        <w:instrText xml:space="preserve"> TA \s "Nat’l Fed’n of Indep. Bus. v. Sebelius (\"NFIB\"), 567 U.S. 519, 577 (2012)" </w:instrText>
      </w:r>
      <w:r w:rsidR="00524D83">
        <w:rPr>
          <w:rFonts w:ascii="Century Schoolbook" w:hAnsi="Century Schoolbook"/>
        </w:rPr>
        <w:fldChar w:fldCharType="end"/>
      </w:r>
      <w:r w:rsidR="00325F34" w:rsidRPr="0045295C">
        <w:rPr>
          <w:rFonts w:ascii="Century Schoolbook" w:hAnsi="Century Schoolbook"/>
        </w:rPr>
        <w:t xml:space="preserve">. As in </w:t>
      </w:r>
      <w:r w:rsidR="00325F34" w:rsidRPr="0045295C">
        <w:rPr>
          <w:rFonts w:ascii="Century Schoolbook" w:hAnsi="Century Schoolbook"/>
          <w:i/>
        </w:rPr>
        <w:t xml:space="preserve">NFIB </w:t>
      </w:r>
      <w:r w:rsidR="00325F34" w:rsidRPr="0045295C">
        <w:rPr>
          <w:rFonts w:ascii="Century Schoolbook" w:hAnsi="Century Schoolbook"/>
        </w:rPr>
        <w:t xml:space="preserve">itself, the Supreme Court has repeatedly rebuked Congress for attempting to “commandeer” or for “undermining” the status of States. </w:t>
      </w:r>
      <w:r w:rsidR="00325F34" w:rsidRPr="0045295C">
        <w:rPr>
          <w:rFonts w:ascii="Century Schoolbook" w:hAnsi="Century Schoolbook"/>
          <w:i/>
        </w:rPr>
        <w:t xml:space="preserve">Id. </w:t>
      </w:r>
      <w:r w:rsidR="00325F34" w:rsidRPr="0045295C">
        <w:rPr>
          <w:rFonts w:ascii="Century Schoolbook" w:hAnsi="Century Schoolbook"/>
        </w:rPr>
        <w:t>(citing cases).</w:t>
      </w:r>
      <w:r w:rsidR="00A10CFB" w:rsidRPr="0045295C">
        <w:rPr>
          <w:rFonts w:ascii="Century Schoolbook" w:hAnsi="Century Schoolbook"/>
        </w:rPr>
        <w:t xml:space="preserve"> This system</w:t>
      </w:r>
      <w:r w:rsidR="005E578B">
        <w:rPr>
          <w:rFonts w:ascii="Century Schoolbook" w:hAnsi="Century Schoolbook"/>
        </w:rPr>
        <w:t xml:space="preserve"> of dual sovereignty</w:t>
      </w:r>
      <w:r w:rsidR="00A10CFB" w:rsidRPr="0045295C">
        <w:rPr>
          <w:rFonts w:ascii="Century Schoolbook" w:hAnsi="Century Schoolbook"/>
        </w:rPr>
        <w:t xml:space="preserve"> serves several important interests, including protecting political accountability and enhancing individual liberty. </w:t>
      </w:r>
      <w:r w:rsidR="00A10CFB" w:rsidRPr="0045295C">
        <w:rPr>
          <w:rFonts w:ascii="Century Schoolbook" w:hAnsi="Century Schoolbook"/>
          <w:i/>
        </w:rPr>
        <w:t xml:space="preserve">Id. </w:t>
      </w:r>
      <w:r w:rsidR="00A10CFB" w:rsidRPr="0045295C">
        <w:rPr>
          <w:rFonts w:ascii="Century Schoolbook" w:hAnsi="Century Schoolbook"/>
        </w:rPr>
        <w:t>at 578</w:t>
      </w:r>
      <w:r w:rsidR="00524D83">
        <w:rPr>
          <w:rFonts w:ascii="Century Schoolbook" w:hAnsi="Century Schoolbook"/>
        </w:rPr>
        <w:fldChar w:fldCharType="begin"/>
      </w:r>
      <w:r w:rsidR="00524D83">
        <w:instrText xml:space="preserve"> TA \s "Nat’l Fed’n of Indep. Bus. v. Sebelius (\"NFIB\"), 567 U.S. 519, 577 (2012)" </w:instrText>
      </w:r>
      <w:r w:rsidR="00524D83">
        <w:rPr>
          <w:rFonts w:ascii="Century Schoolbook" w:hAnsi="Century Schoolbook"/>
        </w:rPr>
        <w:fldChar w:fldCharType="end"/>
      </w:r>
      <w:r w:rsidR="00A10CFB" w:rsidRPr="0045295C">
        <w:rPr>
          <w:rFonts w:ascii="Century Schoolbook" w:hAnsi="Century Schoolbook"/>
        </w:rPr>
        <w:t>.</w:t>
      </w:r>
    </w:p>
    <w:p w:rsidR="004900C8" w:rsidRPr="0045295C" w:rsidRDefault="004900C8" w:rsidP="005E0CBE">
      <w:pPr>
        <w:pStyle w:val="Body"/>
        <w:jc w:val="both"/>
        <w:rPr>
          <w:rFonts w:ascii="Century Schoolbook" w:hAnsi="Century Schoolbook"/>
        </w:rPr>
      </w:pPr>
      <w:r w:rsidRPr="0045295C">
        <w:rPr>
          <w:rFonts w:ascii="Century Schoolbook" w:hAnsi="Century Schoolbook"/>
        </w:rPr>
        <w:t xml:space="preserve">The </w:t>
      </w:r>
      <w:r w:rsidR="005E578B">
        <w:rPr>
          <w:rFonts w:ascii="Century Schoolbook" w:hAnsi="Century Schoolbook"/>
        </w:rPr>
        <w:t>government ignores all of this and treats the states as it would any private party challenging an enforcement provision.</w:t>
      </w:r>
      <w:r w:rsidR="00325F34" w:rsidRPr="0045295C">
        <w:rPr>
          <w:rFonts w:ascii="Century Schoolbook" w:hAnsi="Century Schoolbook"/>
        </w:rPr>
        <w:t xml:space="preserve"> </w:t>
      </w:r>
      <w:r w:rsidR="005E578B">
        <w:rPr>
          <w:rFonts w:ascii="Century Schoolbook" w:hAnsi="Century Schoolbook"/>
        </w:rPr>
        <w:t xml:space="preserve">Its analysis, relying largely on a </w:t>
      </w:r>
      <w:r w:rsidR="00AF7461">
        <w:rPr>
          <w:rFonts w:ascii="Century Schoolbook" w:hAnsi="Century Schoolbook"/>
        </w:rPr>
        <w:t>d</w:t>
      </w:r>
      <w:r w:rsidR="005E578B">
        <w:rPr>
          <w:rFonts w:ascii="Century Schoolbook" w:hAnsi="Century Schoolbook"/>
        </w:rPr>
        <w:t xml:space="preserve">istrict </w:t>
      </w:r>
      <w:r w:rsidR="00AF7461">
        <w:rPr>
          <w:rFonts w:ascii="Century Schoolbook" w:hAnsi="Century Schoolbook"/>
        </w:rPr>
        <w:t>c</w:t>
      </w:r>
      <w:r w:rsidR="005E578B">
        <w:rPr>
          <w:rFonts w:ascii="Century Schoolbook" w:hAnsi="Century Schoolbook"/>
        </w:rPr>
        <w:t xml:space="preserve">ourt’s decision in Missouri dismissing a challenge to the Tax Mandate, is limited </w:t>
      </w:r>
      <w:r w:rsidRPr="0045295C">
        <w:rPr>
          <w:rFonts w:ascii="Century Schoolbook" w:hAnsi="Century Schoolbook"/>
        </w:rPr>
        <w:t xml:space="preserve">explicitly to the question of whether the State had suffered injury-in-fact under the rubric of “pre-enforcement review of a threatened government action as set out in </w:t>
      </w:r>
      <w:r w:rsidRPr="0045295C">
        <w:rPr>
          <w:rFonts w:ascii="Century Schoolbook" w:hAnsi="Century Schoolbook"/>
          <w:i/>
        </w:rPr>
        <w:t>Susan B. Anthony List.</w:t>
      </w:r>
      <w:r w:rsidRPr="0045295C">
        <w:rPr>
          <w:rFonts w:ascii="Century Schoolbook" w:hAnsi="Century Schoolbook"/>
        </w:rPr>
        <w:t xml:space="preserve">” </w:t>
      </w:r>
      <w:r w:rsidR="00541EEF" w:rsidRPr="0045295C">
        <w:rPr>
          <w:rFonts w:ascii="Century Schoolbook" w:hAnsi="Century Schoolbook"/>
          <w:i/>
        </w:rPr>
        <w:t>State v. Yellen</w:t>
      </w:r>
      <w:r w:rsidR="00541EEF" w:rsidRPr="0045295C">
        <w:rPr>
          <w:rFonts w:ascii="Century Schoolbook" w:hAnsi="Century Schoolbook"/>
        </w:rPr>
        <w:t>, No. 4:21CV376 HEA, 2021 WL 1889867, at *3 (E.D. Mo. May 11, 2021)</w:t>
      </w:r>
      <w:r w:rsidR="00524D83">
        <w:rPr>
          <w:rFonts w:ascii="Century Schoolbook" w:hAnsi="Century Schoolbook"/>
        </w:rPr>
        <w:fldChar w:fldCharType="begin"/>
      </w:r>
      <w:r w:rsidR="00524D83">
        <w:instrText xml:space="preserve"> TA \l "</w:instrText>
      </w:r>
      <w:r w:rsidR="00524D83" w:rsidRPr="005B4E14">
        <w:rPr>
          <w:rFonts w:ascii="Century Schoolbook" w:hAnsi="Century Schoolbook"/>
          <w:i/>
        </w:rPr>
        <w:instrText>State v. Yellen</w:instrText>
      </w:r>
      <w:r w:rsidR="00524D83" w:rsidRPr="005B4E14">
        <w:rPr>
          <w:rFonts w:ascii="Century Schoolbook" w:hAnsi="Century Schoolbook"/>
        </w:rPr>
        <w:instrText xml:space="preserve">, </w:instrText>
      </w:r>
      <w:r w:rsidR="00524D83" w:rsidRPr="005B4E14">
        <w:rPr>
          <w:rFonts w:ascii="Century Schoolbook" w:hAnsi="Century Schoolbook"/>
        </w:rPr>
        <w:br/>
        <w:instrText>No. 4:21CV376 HEA, 2021 WL 1889867 (E.D. Mo. May 11, 2021)</w:instrText>
      </w:r>
      <w:r w:rsidR="00524D83">
        <w:instrText xml:space="preserve">" \s "State v. Yellen, No. 4:21CV376 HEA, 2021 WL 1889867, at *3 (E.D. Mo. May 11, 2021)" \c 1 </w:instrText>
      </w:r>
      <w:r w:rsidR="00524D83">
        <w:rPr>
          <w:rFonts w:ascii="Century Schoolbook" w:hAnsi="Century Schoolbook"/>
        </w:rPr>
        <w:fldChar w:fldCharType="end"/>
      </w:r>
      <w:r w:rsidRPr="0045295C">
        <w:rPr>
          <w:rFonts w:ascii="Century Schoolbook" w:hAnsi="Century Schoolbook"/>
        </w:rPr>
        <w:t xml:space="preserve">. </w:t>
      </w:r>
      <w:r w:rsidR="005E578B">
        <w:rPr>
          <w:rFonts w:ascii="Century Schoolbook" w:hAnsi="Century Schoolbook"/>
          <w:i/>
          <w:iCs w:val="0"/>
        </w:rPr>
        <w:t xml:space="preserve">See also </w:t>
      </w:r>
      <w:r w:rsidR="005E578B">
        <w:rPr>
          <w:rFonts w:ascii="Century Schoolbook" w:hAnsi="Century Schoolbook"/>
        </w:rPr>
        <w:t xml:space="preserve">App. Brief at 7-9. </w:t>
      </w:r>
      <w:r w:rsidR="00856D6F" w:rsidRPr="0045295C">
        <w:rPr>
          <w:rFonts w:ascii="Century Schoolbook" w:hAnsi="Century Schoolbook"/>
        </w:rPr>
        <w:t xml:space="preserve">In </w:t>
      </w:r>
      <w:r w:rsidR="00856D6F" w:rsidRPr="0045295C">
        <w:rPr>
          <w:rFonts w:ascii="Century Schoolbook" w:hAnsi="Century Schoolbook"/>
          <w:i/>
        </w:rPr>
        <w:t>Susan B. Anthony List</w:t>
      </w:r>
      <w:r w:rsidR="00856D6F" w:rsidRPr="0045295C">
        <w:rPr>
          <w:rFonts w:ascii="Century Schoolbook" w:hAnsi="Century Schoolbook"/>
        </w:rPr>
        <w:t xml:space="preserve">, the Supreme Court addressed the “recurring issue” of </w:t>
      </w:r>
      <w:r w:rsidR="00856D6F">
        <w:rPr>
          <w:rFonts w:ascii="Century Schoolbook" w:hAnsi="Century Schoolbook"/>
        </w:rPr>
        <w:t xml:space="preserve">when </w:t>
      </w:r>
      <w:r w:rsidR="00856D6F" w:rsidRPr="0045295C">
        <w:rPr>
          <w:rFonts w:ascii="Century Schoolbook" w:hAnsi="Century Schoolbook"/>
        </w:rPr>
        <w:t>“threatened enforcement of a law” create</w:t>
      </w:r>
      <w:r w:rsidR="00856D6F">
        <w:rPr>
          <w:rFonts w:ascii="Century Schoolbook" w:hAnsi="Century Schoolbook"/>
        </w:rPr>
        <w:t>s</w:t>
      </w:r>
      <w:r w:rsidR="00856D6F" w:rsidRPr="0045295C">
        <w:rPr>
          <w:rFonts w:ascii="Century Schoolbook" w:hAnsi="Century Schoolbook"/>
        </w:rPr>
        <w:t xml:space="preserve"> injury-in-fact. </w:t>
      </w:r>
      <w:r w:rsidRPr="0045295C">
        <w:rPr>
          <w:rFonts w:ascii="Century Schoolbook" w:hAnsi="Century Schoolbook"/>
          <w:i/>
        </w:rPr>
        <w:t>See Susan B. Anthony List v. Driehaus</w:t>
      </w:r>
      <w:r w:rsidRPr="0045295C">
        <w:rPr>
          <w:rFonts w:ascii="Century Schoolbook" w:hAnsi="Century Schoolbook"/>
        </w:rPr>
        <w:t>, 573 U.S. 149, 158 (2014)</w:t>
      </w:r>
      <w:r w:rsidR="00524D83">
        <w:rPr>
          <w:rFonts w:ascii="Century Schoolbook" w:hAnsi="Century Schoolbook"/>
        </w:rPr>
        <w:fldChar w:fldCharType="begin"/>
      </w:r>
      <w:r w:rsidR="00524D83">
        <w:instrText xml:space="preserve"> TA \l "</w:instrText>
      </w:r>
      <w:r w:rsidR="00524D83" w:rsidRPr="008D2678">
        <w:rPr>
          <w:rFonts w:ascii="Century Schoolbook" w:hAnsi="Century Schoolbook"/>
          <w:i/>
        </w:rPr>
        <w:instrText>Susan B. Anthony List v. Driehaus</w:instrText>
      </w:r>
      <w:r w:rsidR="00524D83" w:rsidRPr="008D2678">
        <w:rPr>
          <w:rFonts w:ascii="Century Schoolbook" w:hAnsi="Century Schoolbook"/>
        </w:rPr>
        <w:instrText xml:space="preserve">, </w:instrText>
      </w:r>
      <w:r w:rsidR="00524D83" w:rsidRPr="008D2678">
        <w:rPr>
          <w:rFonts w:ascii="Century Schoolbook" w:hAnsi="Century Schoolbook"/>
        </w:rPr>
        <w:br/>
        <w:instrText>573 U.S. 149 (2014)</w:instrText>
      </w:r>
      <w:r w:rsidR="00524D83">
        <w:instrText xml:space="preserve">" \s "Susan B. Anthony List v. Driehaus, 573 U.S. 149, 158 (2014)" \c 1 </w:instrText>
      </w:r>
      <w:r w:rsidR="00524D83">
        <w:rPr>
          <w:rFonts w:ascii="Century Schoolbook" w:hAnsi="Century Schoolbook"/>
        </w:rPr>
        <w:fldChar w:fldCharType="end"/>
      </w:r>
      <w:r w:rsidRPr="0045295C">
        <w:rPr>
          <w:rFonts w:ascii="Century Schoolbook" w:hAnsi="Century Schoolbook"/>
        </w:rPr>
        <w:t xml:space="preserve">. </w:t>
      </w:r>
      <w:r w:rsidRPr="0045295C">
        <w:rPr>
          <w:rFonts w:ascii="Century Schoolbook" w:hAnsi="Century Schoolbook"/>
          <w:i/>
        </w:rPr>
        <w:t xml:space="preserve">Susan B. Anthony List </w:t>
      </w:r>
      <w:r w:rsidRPr="0045295C">
        <w:rPr>
          <w:rFonts w:ascii="Century Schoolbook" w:hAnsi="Century Schoolbook"/>
        </w:rPr>
        <w:t xml:space="preserve">sets forth a </w:t>
      </w:r>
      <w:r w:rsidR="005E0CBE" w:rsidRPr="0045295C">
        <w:rPr>
          <w:rFonts w:ascii="Century Schoolbook" w:hAnsi="Century Schoolbook"/>
        </w:rPr>
        <w:t>three-part</w:t>
      </w:r>
      <w:r w:rsidRPr="0045295C">
        <w:rPr>
          <w:rFonts w:ascii="Century Schoolbook" w:hAnsi="Century Schoolbook"/>
        </w:rPr>
        <w:t xml:space="preserve"> test for establishing pre-enforcement review: (1) an “intention to engage in a course of conduct arguably affected with a constitutional interest”; (2) future conduct “arguably</w:t>
      </w:r>
      <w:r w:rsidR="00DB3BBE">
        <w:rPr>
          <w:rFonts w:ascii="Century Schoolbook" w:hAnsi="Century Schoolbook"/>
        </w:rPr>
        <w:t xml:space="preserve"> </w:t>
      </w:r>
      <w:r w:rsidR="008D3A9E" w:rsidRPr="008D3A9E">
        <w:rPr>
          <w:rFonts w:ascii="Century Schoolbook" w:hAnsi="Century Schoolbook"/>
        </w:rPr>
        <w:t>…</w:t>
      </w:r>
      <w:r w:rsidRPr="0045295C">
        <w:rPr>
          <w:rFonts w:ascii="Century Schoolbook" w:hAnsi="Century Schoolbook"/>
        </w:rPr>
        <w:t xml:space="preserve"> proscribed by </w:t>
      </w:r>
      <w:r w:rsidR="00DB3BBE">
        <w:rPr>
          <w:rFonts w:ascii="Century Schoolbook" w:hAnsi="Century Schoolbook"/>
        </w:rPr>
        <w:t>a</w:t>
      </w:r>
      <w:r w:rsidRPr="0045295C">
        <w:rPr>
          <w:rFonts w:ascii="Century Schoolbook" w:hAnsi="Century Schoolbook"/>
        </w:rPr>
        <w:t xml:space="preserve"> statute;” and (3) a “credible threat</w:t>
      </w:r>
      <w:r w:rsidR="00942ADE">
        <w:rPr>
          <w:rFonts w:ascii="Century Schoolbook" w:hAnsi="Century Schoolbook"/>
        </w:rPr>
        <w:t>” of “</w:t>
      </w:r>
      <w:r w:rsidRPr="0045295C">
        <w:rPr>
          <w:rFonts w:ascii="Century Schoolbook" w:hAnsi="Century Schoolbook"/>
        </w:rPr>
        <w:t xml:space="preserve">future enforcement.” </w:t>
      </w:r>
      <w:r w:rsidRPr="0045295C">
        <w:rPr>
          <w:rFonts w:ascii="Century Schoolbook" w:hAnsi="Century Schoolbook"/>
          <w:i/>
        </w:rPr>
        <w:t xml:space="preserve">Id. </w:t>
      </w:r>
      <w:r w:rsidRPr="0045295C">
        <w:rPr>
          <w:rFonts w:ascii="Century Schoolbook" w:hAnsi="Century Schoolbook"/>
        </w:rPr>
        <w:t>at 160</w:t>
      </w:r>
      <w:r w:rsidR="00524D83">
        <w:rPr>
          <w:rFonts w:ascii="Century Schoolbook" w:hAnsi="Century Schoolbook"/>
        </w:rPr>
        <w:fldChar w:fldCharType="begin"/>
      </w:r>
      <w:r w:rsidR="00524D83">
        <w:instrText xml:space="preserve"> TA \s "Susan B. Anthony List v. Driehaus, 573 U.S. 149, 158 (2014)" </w:instrText>
      </w:r>
      <w:r w:rsidR="00524D83">
        <w:rPr>
          <w:rFonts w:ascii="Century Schoolbook" w:hAnsi="Century Schoolbook"/>
        </w:rPr>
        <w:fldChar w:fldCharType="end"/>
      </w:r>
      <w:r w:rsidR="00DB3BBE">
        <w:rPr>
          <w:rFonts w:ascii="Century Schoolbook" w:hAnsi="Century Schoolbook"/>
        </w:rPr>
        <w:t>,</w:t>
      </w:r>
      <w:r w:rsidR="00942ADE">
        <w:rPr>
          <w:rFonts w:ascii="Century Schoolbook" w:hAnsi="Century Schoolbook"/>
        </w:rPr>
        <w:t xml:space="preserve"> 163.</w:t>
      </w:r>
      <w:r w:rsidRPr="0045295C">
        <w:rPr>
          <w:rFonts w:ascii="Century Schoolbook" w:hAnsi="Century Schoolbook"/>
        </w:rPr>
        <w:t xml:space="preserve"> </w:t>
      </w:r>
      <w:r w:rsidR="005E578B">
        <w:rPr>
          <w:rFonts w:ascii="Century Schoolbook" w:hAnsi="Century Schoolbook"/>
        </w:rPr>
        <w:t xml:space="preserve">According to the government, </w:t>
      </w:r>
      <w:r w:rsidR="005451FF">
        <w:rPr>
          <w:rFonts w:ascii="Century Schoolbook" w:hAnsi="Century Schoolbook"/>
        </w:rPr>
        <w:t>because Ohio did not show how its tax cuts would reduce its revenue, it failed to show any realistic danger of sustaining a direct injury. App. Brief at 9.</w:t>
      </w:r>
    </w:p>
    <w:p w:rsidR="00541EEF" w:rsidRPr="0045295C" w:rsidRDefault="0000753E" w:rsidP="005E0CBE">
      <w:pPr>
        <w:pStyle w:val="Body"/>
        <w:jc w:val="both"/>
        <w:rPr>
          <w:rFonts w:ascii="Century Schoolbook" w:hAnsi="Century Schoolbook"/>
        </w:rPr>
      </w:pPr>
      <w:r>
        <w:rPr>
          <w:rFonts w:ascii="Century Schoolbook" w:hAnsi="Century Schoolbook"/>
        </w:rPr>
        <w:t>But</w:t>
      </w:r>
      <w:r w:rsidR="009870C3" w:rsidRPr="0045295C">
        <w:rPr>
          <w:rFonts w:ascii="Century Schoolbook" w:hAnsi="Century Schoolbook"/>
        </w:rPr>
        <w:t xml:space="preserve"> </w:t>
      </w:r>
      <w:r w:rsidR="009870C3" w:rsidRPr="0045295C">
        <w:rPr>
          <w:rFonts w:ascii="Century Schoolbook" w:hAnsi="Century Schoolbook"/>
          <w:i/>
        </w:rPr>
        <w:t xml:space="preserve">Susan B. Anthony List </w:t>
      </w:r>
      <w:r w:rsidR="009870C3" w:rsidRPr="0045295C">
        <w:rPr>
          <w:rFonts w:ascii="Century Schoolbook" w:hAnsi="Century Schoolbook"/>
        </w:rPr>
        <w:t xml:space="preserve">is not the </w:t>
      </w:r>
      <w:r w:rsidR="004C7CF4">
        <w:rPr>
          <w:rFonts w:ascii="Century Schoolbook" w:hAnsi="Century Schoolbook"/>
        </w:rPr>
        <w:t>only</w:t>
      </w:r>
      <w:r w:rsidR="004C7CF4" w:rsidRPr="0045295C">
        <w:rPr>
          <w:rFonts w:ascii="Century Schoolbook" w:hAnsi="Century Schoolbook"/>
        </w:rPr>
        <w:t xml:space="preserve"> </w:t>
      </w:r>
      <w:r w:rsidR="009870C3" w:rsidRPr="0045295C">
        <w:rPr>
          <w:rFonts w:ascii="Century Schoolbook" w:hAnsi="Century Schoolbook"/>
        </w:rPr>
        <w:t xml:space="preserve">framework </w:t>
      </w:r>
      <w:r w:rsidR="004C7CF4">
        <w:rPr>
          <w:rFonts w:ascii="Century Schoolbook" w:hAnsi="Century Schoolbook"/>
        </w:rPr>
        <w:t>under which</w:t>
      </w:r>
      <w:r w:rsidR="009870C3" w:rsidRPr="0045295C">
        <w:rPr>
          <w:rFonts w:ascii="Century Schoolbook" w:hAnsi="Century Schoolbook"/>
        </w:rPr>
        <w:t xml:space="preserve"> </w:t>
      </w:r>
      <w:r w:rsidR="005451FF">
        <w:rPr>
          <w:rFonts w:ascii="Century Schoolbook" w:hAnsi="Century Schoolbook"/>
        </w:rPr>
        <w:t>Ohio</w:t>
      </w:r>
      <w:r w:rsidR="004C7CF4">
        <w:rPr>
          <w:rFonts w:ascii="Century Schoolbook" w:hAnsi="Century Schoolbook"/>
        </w:rPr>
        <w:t xml:space="preserve"> could establish standing</w:t>
      </w:r>
      <w:r w:rsidR="009870C3" w:rsidRPr="0045295C">
        <w:rPr>
          <w:rFonts w:ascii="Century Schoolbook" w:hAnsi="Century Schoolbook"/>
        </w:rPr>
        <w:t xml:space="preserve"> because the Tax Mandate</w:t>
      </w:r>
      <w:r w:rsidR="00520BFC" w:rsidRPr="0045295C">
        <w:rPr>
          <w:rFonts w:ascii="Century Schoolbook" w:hAnsi="Century Schoolbook"/>
        </w:rPr>
        <w:t>, at the time the complaint was filed, inflicted an</w:t>
      </w:r>
      <w:r w:rsidR="009870C3" w:rsidRPr="0045295C">
        <w:rPr>
          <w:rFonts w:ascii="Century Schoolbook" w:hAnsi="Century Schoolbook"/>
        </w:rPr>
        <w:t xml:space="preserve"> actual</w:t>
      </w:r>
      <w:r w:rsidR="00520BFC" w:rsidRPr="0045295C">
        <w:rPr>
          <w:rFonts w:ascii="Century Schoolbook" w:hAnsi="Century Schoolbook"/>
        </w:rPr>
        <w:t xml:space="preserve"> and ongoing</w:t>
      </w:r>
      <w:r w:rsidR="009870C3" w:rsidRPr="0045295C">
        <w:rPr>
          <w:rFonts w:ascii="Century Schoolbook" w:hAnsi="Century Schoolbook"/>
        </w:rPr>
        <w:t xml:space="preserve">—not </w:t>
      </w:r>
      <w:r w:rsidR="00942ADE">
        <w:rPr>
          <w:rFonts w:ascii="Century Schoolbook" w:hAnsi="Century Schoolbook"/>
        </w:rPr>
        <w:t xml:space="preserve">merely </w:t>
      </w:r>
      <w:r w:rsidR="009870C3" w:rsidRPr="0045295C">
        <w:rPr>
          <w:rFonts w:ascii="Century Schoolbook" w:hAnsi="Century Schoolbook"/>
        </w:rPr>
        <w:t>imminent—injury on the States. T</w:t>
      </w:r>
      <w:r w:rsidR="004900C8" w:rsidRPr="0045295C">
        <w:rPr>
          <w:rFonts w:ascii="Century Schoolbook" w:hAnsi="Century Schoolbook"/>
        </w:rPr>
        <w:t xml:space="preserve">he purpose of </w:t>
      </w:r>
      <w:r w:rsidR="009870C3" w:rsidRPr="0045295C">
        <w:rPr>
          <w:rFonts w:ascii="Century Schoolbook" w:hAnsi="Century Schoolbook"/>
        </w:rPr>
        <w:t xml:space="preserve">the </w:t>
      </w:r>
      <w:r w:rsidR="004900C8" w:rsidRPr="0045295C">
        <w:rPr>
          <w:rFonts w:ascii="Century Schoolbook" w:hAnsi="Century Schoolbook"/>
        </w:rPr>
        <w:t xml:space="preserve">three-part analysis </w:t>
      </w:r>
      <w:r w:rsidR="009870C3" w:rsidRPr="0045295C">
        <w:rPr>
          <w:rFonts w:ascii="Century Schoolbook" w:hAnsi="Century Schoolbook"/>
        </w:rPr>
        <w:t xml:space="preserve">in </w:t>
      </w:r>
      <w:r w:rsidR="009870C3" w:rsidRPr="0045295C">
        <w:rPr>
          <w:rFonts w:ascii="Century Schoolbook" w:hAnsi="Century Schoolbook"/>
          <w:i/>
        </w:rPr>
        <w:t xml:space="preserve">Susan B. Anthony List </w:t>
      </w:r>
      <w:r w:rsidR="009870C3" w:rsidRPr="0045295C">
        <w:rPr>
          <w:rFonts w:ascii="Century Schoolbook" w:hAnsi="Century Schoolbook"/>
        </w:rPr>
        <w:t>is</w:t>
      </w:r>
      <w:r w:rsidR="009870C3" w:rsidRPr="0045295C">
        <w:rPr>
          <w:rFonts w:ascii="Century Schoolbook" w:hAnsi="Century Schoolbook"/>
          <w:i/>
        </w:rPr>
        <w:t xml:space="preserve"> </w:t>
      </w:r>
      <w:r w:rsidR="004900C8" w:rsidRPr="0045295C">
        <w:rPr>
          <w:rFonts w:ascii="Century Schoolbook" w:hAnsi="Century Schoolbook"/>
        </w:rPr>
        <w:t xml:space="preserve">to address whether plaintiffs who fear enforcement have </w:t>
      </w:r>
      <w:r w:rsidR="00A10CFB" w:rsidRPr="0045295C">
        <w:rPr>
          <w:rFonts w:ascii="Century Schoolbook" w:hAnsi="Century Schoolbook"/>
        </w:rPr>
        <w:t>demonstrated</w:t>
      </w:r>
      <w:r w:rsidR="004900C8" w:rsidRPr="0045295C">
        <w:rPr>
          <w:rFonts w:ascii="Century Schoolbook" w:hAnsi="Century Schoolbook"/>
        </w:rPr>
        <w:t xml:space="preserve"> “a sufficiently imminent injury” </w:t>
      </w:r>
      <w:r w:rsidR="00F52872" w:rsidRPr="0045295C">
        <w:rPr>
          <w:rFonts w:ascii="Century Schoolbook" w:hAnsi="Century Schoolbook"/>
        </w:rPr>
        <w:t xml:space="preserve">to give rise to a case or controversy under </w:t>
      </w:r>
      <w:r w:rsidR="004900C8" w:rsidRPr="0045295C">
        <w:rPr>
          <w:rFonts w:ascii="Century Schoolbook" w:hAnsi="Century Schoolbook"/>
        </w:rPr>
        <w:t xml:space="preserve">Article III. </w:t>
      </w:r>
      <w:r w:rsidR="004900C8" w:rsidRPr="0045295C">
        <w:rPr>
          <w:rFonts w:ascii="Century Schoolbook" w:hAnsi="Century Schoolbook"/>
          <w:i/>
        </w:rPr>
        <w:t xml:space="preserve">Id. </w:t>
      </w:r>
      <w:r w:rsidR="004900C8" w:rsidRPr="0045295C">
        <w:rPr>
          <w:rFonts w:ascii="Century Schoolbook" w:hAnsi="Century Schoolbook"/>
        </w:rPr>
        <w:t>at 152</w:t>
      </w:r>
      <w:r w:rsidR="00524D83">
        <w:rPr>
          <w:rFonts w:ascii="Century Schoolbook" w:hAnsi="Century Schoolbook"/>
        </w:rPr>
        <w:fldChar w:fldCharType="begin"/>
      </w:r>
      <w:r w:rsidR="00524D83">
        <w:instrText xml:space="preserve"> TA \s "Susan B. Anthony List v. Driehaus, 573 U.S. 149, 158 (2014)" </w:instrText>
      </w:r>
      <w:r w:rsidR="00524D83">
        <w:rPr>
          <w:rFonts w:ascii="Century Schoolbook" w:hAnsi="Century Schoolbook"/>
        </w:rPr>
        <w:fldChar w:fldCharType="end"/>
      </w:r>
      <w:r w:rsidR="004900C8" w:rsidRPr="0045295C">
        <w:rPr>
          <w:rFonts w:ascii="Century Schoolbook" w:hAnsi="Century Schoolbook"/>
        </w:rPr>
        <w:t xml:space="preserve">. </w:t>
      </w:r>
      <w:r w:rsidR="009870C3" w:rsidRPr="0045295C">
        <w:rPr>
          <w:rFonts w:ascii="Century Schoolbook" w:hAnsi="Century Schoolbook"/>
        </w:rPr>
        <w:t>But the Tax Mandate inflict</w:t>
      </w:r>
      <w:r w:rsidR="0084268F">
        <w:rPr>
          <w:rFonts w:ascii="Century Schoolbook" w:hAnsi="Century Schoolbook"/>
        </w:rPr>
        <w:t>ed</w:t>
      </w:r>
      <w:r w:rsidR="00F52872" w:rsidRPr="0045295C">
        <w:rPr>
          <w:rFonts w:ascii="Century Schoolbook" w:hAnsi="Century Schoolbook"/>
        </w:rPr>
        <w:t xml:space="preserve"> </w:t>
      </w:r>
      <w:r w:rsidR="00F52872" w:rsidRPr="0045295C">
        <w:rPr>
          <w:rFonts w:ascii="Century Schoolbook" w:hAnsi="Century Schoolbook"/>
          <w:i/>
        </w:rPr>
        <w:t xml:space="preserve">actual </w:t>
      </w:r>
      <w:r w:rsidR="00F52872" w:rsidRPr="0045295C">
        <w:rPr>
          <w:rFonts w:ascii="Century Schoolbook" w:hAnsi="Century Schoolbook"/>
        </w:rPr>
        <w:t xml:space="preserve">injuries </w:t>
      </w:r>
      <w:r w:rsidR="009870C3" w:rsidRPr="0045295C">
        <w:rPr>
          <w:rFonts w:ascii="Century Schoolbook" w:hAnsi="Century Schoolbook"/>
        </w:rPr>
        <w:t>on the States at the time of its passing by undermining States’ sovereign right</w:t>
      </w:r>
      <w:r w:rsidR="00520BFC" w:rsidRPr="0045295C">
        <w:rPr>
          <w:rFonts w:ascii="Century Schoolbook" w:hAnsi="Century Schoolbook"/>
        </w:rPr>
        <w:t>s</w:t>
      </w:r>
      <w:r w:rsidR="005451FF">
        <w:rPr>
          <w:rFonts w:ascii="Century Schoolbook" w:hAnsi="Century Schoolbook"/>
        </w:rPr>
        <w:t>, regardless of whether there was imminent enforcement.</w:t>
      </w:r>
    </w:p>
    <w:p w:rsidR="008D154F" w:rsidRPr="0045295C" w:rsidRDefault="009870C3" w:rsidP="005E0CBE">
      <w:pPr>
        <w:pStyle w:val="Body"/>
        <w:jc w:val="both"/>
        <w:rPr>
          <w:rFonts w:ascii="Century Schoolbook" w:hAnsi="Century Schoolbook"/>
        </w:rPr>
      </w:pPr>
      <w:r w:rsidRPr="0045295C">
        <w:rPr>
          <w:rFonts w:ascii="Century Schoolbook" w:hAnsi="Century Schoolbook"/>
        </w:rPr>
        <w:t>The Tax Mandate inflicts</w:t>
      </w:r>
      <w:r w:rsidR="008D154F" w:rsidRPr="0045295C">
        <w:rPr>
          <w:rFonts w:ascii="Century Schoolbook" w:hAnsi="Century Schoolbook"/>
        </w:rPr>
        <w:t xml:space="preserve"> actual</w:t>
      </w:r>
      <w:r w:rsidRPr="0045295C">
        <w:rPr>
          <w:rFonts w:ascii="Century Schoolbook" w:hAnsi="Century Schoolbook"/>
        </w:rPr>
        <w:t xml:space="preserve"> </w:t>
      </w:r>
      <w:r w:rsidR="00F52872" w:rsidRPr="0045295C">
        <w:rPr>
          <w:rFonts w:ascii="Century Schoolbook" w:hAnsi="Century Schoolbook"/>
        </w:rPr>
        <w:t xml:space="preserve">injuries </w:t>
      </w:r>
      <w:r w:rsidR="00A10CFB" w:rsidRPr="0045295C">
        <w:rPr>
          <w:rFonts w:ascii="Century Schoolbook" w:hAnsi="Century Schoolbook"/>
        </w:rPr>
        <w:t xml:space="preserve">on </w:t>
      </w:r>
      <w:r w:rsidR="0084268F">
        <w:rPr>
          <w:rFonts w:ascii="Century Schoolbook" w:hAnsi="Century Schoolbook"/>
        </w:rPr>
        <w:t xml:space="preserve">Ohio </w:t>
      </w:r>
      <w:r w:rsidRPr="0045295C">
        <w:rPr>
          <w:rFonts w:ascii="Century Schoolbook" w:hAnsi="Century Schoolbook"/>
        </w:rPr>
        <w:t xml:space="preserve">by undermining </w:t>
      </w:r>
      <w:r w:rsidR="00A10CFB" w:rsidRPr="0045295C">
        <w:rPr>
          <w:rFonts w:ascii="Century Schoolbook" w:hAnsi="Century Schoolbook"/>
        </w:rPr>
        <w:t xml:space="preserve">the </w:t>
      </w:r>
      <w:r w:rsidRPr="0045295C">
        <w:rPr>
          <w:rFonts w:ascii="Century Schoolbook" w:hAnsi="Century Schoolbook"/>
        </w:rPr>
        <w:t>State</w:t>
      </w:r>
      <w:r w:rsidR="00A10CFB" w:rsidRPr="0045295C">
        <w:rPr>
          <w:rFonts w:ascii="Century Schoolbook" w:hAnsi="Century Schoolbook"/>
        </w:rPr>
        <w:t>’s</w:t>
      </w:r>
      <w:r w:rsidRPr="0045295C">
        <w:rPr>
          <w:rFonts w:ascii="Century Schoolbook" w:hAnsi="Century Schoolbook"/>
        </w:rPr>
        <w:t xml:space="preserve"> </w:t>
      </w:r>
      <w:r w:rsidR="000B7C55" w:rsidRPr="0045295C">
        <w:rPr>
          <w:rFonts w:ascii="Century Schoolbook" w:hAnsi="Century Schoolbook"/>
        </w:rPr>
        <w:t xml:space="preserve">sovereign </w:t>
      </w:r>
      <w:r w:rsidRPr="0045295C">
        <w:rPr>
          <w:rFonts w:ascii="Century Schoolbook" w:hAnsi="Century Schoolbook"/>
        </w:rPr>
        <w:t xml:space="preserve">authority </w:t>
      </w:r>
      <w:r w:rsidR="000B7C55" w:rsidRPr="0045295C">
        <w:rPr>
          <w:rFonts w:ascii="Century Schoolbook" w:hAnsi="Century Schoolbook"/>
        </w:rPr>
        <w:t xml:space="preserve">in at least two ways. First, the ambiguity in the Tax Mandate </w:t>
      </w:r>
      <w:r w:rsidR="00481A07">
        <w:rPr>
          <w:rFonts w:ascii="Century Schoolbook" w:hAnsi="Century Schoolbook"/>
        </w:rPr>
        <w:t>transgresses upon</w:t>
      </w:r>
      <w:r w:rsidR="000B7C55" w:rsidRPr="0045295C">
        <w:rPr>
          <w:rFonts w:ascii="Century Schoolbook" w:hAnsi="Century Schoolbook"/>
        </w:rPr>
        <w:t xml:space="preserve"> </w:t>
      </w:r>
      <w:r w:rsidR="00A10CFB" w:rsidRPr="0045295C">
        <w:rPr>
          <w:rFonts w:ascii="Century Schoolbook" w:hAnsi="Century Schoolbook"/>
        </w:rPr>
        <w:t>the State’s</w:t>
      </w:r>
      <w:r w:rsidR="000B7C55" w:rsidRPr="0045295C">
        <w:rPr>
          <w:rFonts w:ascii="Century Schoolbook" w:hAnsi="Century Schoolbook"/>
        </w:rPr>
        <w:t xml:space="preserve"> “sovereign prerogative” to be presented with unambiguous terms in conditional federal grants, so </w:t>
      </w:r>
      <w:r w:rsidR="00A10CFB" w:rsidRPr="0045295C">
        <w:rPr>
          <w:rFonts w:ascii="Century Schoolbook" w:hAnsi="Century Schoolbook"/>
        </w:rPr>
        <w:t xml:space="preserve">it </w:t>
      </w:r>
      <w:r w:rsidR="000B7C55" w:rsidRPr="0045295C">
        <w:rPr>
          <w:rFonts w:ascii="Century Schoolbook" w:hAnsi="Century Schoolbook"/>
        </w:rPr>
        <w:t xml:space="preserve">can exercise </w:t>
      </w:r>
      <w:r w:rsidR="00A10CFB" w:rsidRPr="0045295C">
        <w:rPr>
          <w:rFonts w:ascii="Century Schoolbook" w:hAnsi="Century Schoolbook"/>
        </w:rPr>
        <w:t xml:space="preserve">its </w:t>
      </w:r>
      <w:r w:rsidR="000B7C55" w:rsidRPr="0045295C">
        <w:rPr>
          <w:rFonts w:ascii="Century Schoolbook" w:hAnsi="Century Schoolbook"/>
        </w:rPr>
        <w:t xml:space="preserve">choice “voluntarily and knowingly.” </w:t>
      </w:r>
      <w:r w:rsidR="000B7C55" w:rsidRPr="0045295C">
        <w:rPr>
          <w:rFonts w:ascii="Century Schoolbook" w:hAnsi="Century Schoolbook"/>
          <w:i/>
        </w:rPr>
        <w:t>See Ohio v. Yellen</w:t>
      </w:r>
      <w:r w:rsidR="000B7C55" w:rsidRPr="0045295C">
        <w:rPr>
          <w:rFonts w:ascii="Century Schoolbook" w:hAnsi="Century Schoolbook"/>
        </w:rPr>
        <w:t>, 2021 WL 2712220, at *4</w:t>
      </w:r>
      <w:r w:rsidR="004D3E07">
        <w:rPr>
          <w:rFonts w:ascii="Century Schoolbook" w:hAnsi="Century Schoolbook"/>
        </w:rPr>
        <w:fldChar w:fldCharType="begin"/>
      </w:r>
      <w:r w:rsidR="004D3E07">
        <w:instrText xml:space="preserve"> TA \s "Ohio v. Yellen, No. 1:21-CV-181, 2021 WL 2712220, at *2 (S.D. Ohio Jul. 1, 2021)" </w:instrText>
      </w:r>
      <w:r w:rsidR="004D3E07">
        <w:rPr>
          <w:rFonts w:ascii="Century Schoolbook" w:hAnsi="Century Schoolbook"/>
        </w:rPr>
        <w:fldChar w:fldCharType="end"/>
      </w:r>
      <w:r w:rsidR="000B7C55" w:rsidRPr="0045295C">
        <w:rPr>
          <w:rFonts w:ascii="Century Schoolbook" w:hAnsi="Century Schoolbook"/>
        </w:rPr>
        <w:t xml:space="preserve">. </w:t>
      </w:r>
      <w:r w:rsidR="008D154F" w:rsidRPr="0045295C">
        <w:rPr>
          <w:rFonts w:ascii="Century Schoolbook" w:hAnsi="Century Schoolbook"/>
        </w:rPr>
        <w:t xml:space="preserve">That ambiguous conditions harm </w:t>
      </w:r>
      <w:r w:rsidR="00A10CFB" w:rsidRPr="0045295C">
        <w:rPr>
          <w:rFonts w:ascii="Century Schoolbook" w:hAnsi="Century Schoolbook"/>
        </w:rPr>
        <w:t xml:space="preserve">States </w:t>
      </w:r>
      <w:r w:rsidR="008D154F" w:rsidRPr="0045295C">
        <w:rPr>
          <w:rFonts w:ascii="Century Schoolbook" w:hAnsi="Century Schoolbook"/>
        </w:rPr>
        <w:t xml:space="preserve">at the time they are offered </w:t>
      </w:r>
      <w:r w:rsidR="00096545" w:rsidRPr="0045295C">
        <w:rPr>
          <w:rFonts w:ascii="Century Schoolbook" w:hAnsi="Century Schoolbook"/>
        </w:rPr>
        <w:t xml:space="preserve">is consistent with common sense: if a State cannot even understand what an offer means at the time that it can make a choice to accept, that injures the State. </w:t>
      </w:r>
      <w:r w:rsidR="0084268F">
        <w:rPr>
          <w:rFonts w:ascii="Century Schoolbook" w:hAnsi="Century Schoolbook"/>
        </w:rPr>
        <w:t xml:space="preserve">Regardless of whether the State accepts, its conduct has been materially affected by the unconstitutional condition. </w:t>
      </w:r>
      <w:r w:rsidR="0083706A" w:rsidRPr="0045295C">
        <w:rPr>
          <w:rFonts w:ascii="Century Schoolbook" w:hAnsi="Century Schoolbook"/>
        </w:rPr>
        <w:t xml:space="preserve">Under this </w:t>
      </w:r>
      <w:r w:rsidR="0083706A">
        <w:rPr>
          <w:rFonts w:ascii="Century Schoolbook" w:hAnsi="Century Schoolbook"/>
        </w:rPr>
        <w:t>framework that the Supreme Court has repeatedly recognized</w:t>
      </w:r>
      <w:r w:rsidR="0083706A" w:rsidRPr="0045295C">
        <w:rPr>
          <w:rFonts w:ascii="Century Schoolbook" w:hAnsi="Century Schoolbook"/>
        </w:rPr>
        <w:t>, the States’</w:t>
      </w:r>
      <w:r w:rsidR="0083706A">
        <w:rPr>
          <w:rFonts w:ascii="Century Schoolbook" w:hAnsi="Century Schoolbook"/>
        </w:rPr>
        <w:t xml:space="preserve"> injury was an accomplished fact</w:t>
      </w:r>
      <w:r w:rsidR="0083706A" w:rsidRPr="0045295C">
        <w:rPr>
          <w:rFonts w:ascii="Century Schoolbook" w:hAnsi="Century Schoolbook"/>
        </w:rPr>
        <w:t xml:space="preserve"> when the ARPA was </w:t>
      </w:r>
      <w:r w:rsidR="0083706A">
        <w:rPr>
          <w:rFonts w:ascii="Century Schoolbook" w:hAnsi="Century Schoolbook"/>
        </w:rPr>
        <w:t>signed into law and the States were presented with a choice that could impose enforceable (if ambiguous) conditions on their exercise of their sovereign powers. T</w:t>
      </w:r>
      <w:r w:rsidR="0083706A" w:rsidRPr="0045295C">
        <w:rPr>
          <w:rFonts w:ascii="Century Schoolbook" w:hAnsi="Century Schoolbook"/>
        </w:rPr>
        <w:t xml:space="preserve">he fact that the State had a nominal choice </w:t>
      </w:r>
      <w:r w:rsidR="0083706A">
        <w:rPr>
          <w:rFonts w:ascii="Century Schoolbook" w:hAnsi="Century Schoolbook"/>
        </w:rPr>
        <w:t>in the matter does not preclude a</w:t>
      </w:r>
      <w:r w:rsidR="0083706A" w:rsidRPr="0045295C">
        <w:rPr>
          <w:rFonts w:ascii="Century Schoolbook" w:hAnsi="Century Schoolbook"/>
        </w:rPr>
        <w:t xml:space="preserve"> </w:t>
      </w:r>
      <w:r w:rsidR="0083706A">
        <w:rPr>
          <w:rFonts w:ascii="Century Schoolbook" w:hAnsi="Century Schoolbook"/>
        </w:rPr>
        <w:t>c</w:t>
      </w:r>
      <w:r w:rsidR="0083706A" w:rsidRPr="0045295C">
        <w:rPr>
          <w:rFonts w:ascii="Century Schoolbook" w:hAnsi="Century Schoolbook"/>
        </w:rPr>
        <w:t>onstitutional violation</w:t>
      </w:r>
      <w:r w:rsidR="00FF660F">
        <w:rPr>
          <w:rFonts w:ascii="Century Schoolbook" w:hAnsi="Century Schoolbook"/>
        </w:rPr>
        <w:t>, as the lower court</w:t>
      </w:r>
      <w:r w:rsidR="00481A07">
        <w:rPr>
          <w:rFonts w:ascii="Century Schoolbook" w:hAnsi="Century Schoolbook"/>
        </w:rPr>
        <w:t xml:space="preserve"> properly</w:t>
      </w:r>
      <w:r w:rsidR="00FF660F">
        <w:rPr>
          <w:rFonts w:ascii="Century Schoolbook" w:hAnsi="Century Schoolbook"/>
        </w:rPr>
        <w:t xml:space="preserve"> recognized</w:t>
      </w:r>
      <w:r w:rsidR="0083706A" w:rsidRPr="0045295C">
        <w:rPr>
          <w:rFonts w:ascii="Century Schoolbook" w:hAnsi="Century Schoolbook"/>
        </w:rPr>
        <w:t xml:space="preserve">. </w:t>
      </w:r>
    </w:p>
    <w:p w:rsidR="00F52872" w:rsidRPr="0045295C" w:rsidRDefault="00096545" w:rsidP="0083706A">
      <w:pPr>
        <w:pStyle w:val="Body"/>
        <w:jc w:val="both"/>
        <w:rPr>
          <w:rFonts w:ascii="Century Schoolbook" w:hAnsi="Century Schoolbook"/>
        </w:rPr>
      </w:pPr>
      <w:r w:rsidRPr="0045295C">
        <w:rPr>
          <w:rFonts w:ascii="Century Schoolbook" w:hAnsi="Century Schoolbook"/>
        </w:rPr>
        <w:t xml:space="preserve">Second, </w:t>
      </w:r>
      <w:r w:rsidR="00A10CFB" w:rsidRPr="0045295C">
        <w:rPr>
          <w:rFonts w:ascii="Century Schoolbook" w:hAnsi="Century Schoolbook"/>
        </w:rPr>
        <w:t xml:space="preserve">as </w:t>
      </w:r>
      <w:r w:rsidR="00FF660F">
        <w:rPr>
          <w:rFonts w:ascii="Century Schoolbook" w:hAnsi="Century Schoolbook"/>
        </w:rPr>
        <w:t>Ohio</w:t>
      </w:r>
      <w:r w:rsidR="00A10CFB" w:rsidRPr="0045295C">
        <w:rPr>
          <w:rFonts w:ascii="Century Schoolbook" w:hAnsi="Century Schoolbook"/>
        </w:rPr>
        <w:t xml:space="preserve"> </w:t>
      </w:r>
      <w:r w:rsidR="00FF660F">
        <w:rPr>
          <w:rFonts w:ascii="Century Schoolbook" w:hAnsi="Century Schoolbook"/>
        </w:rPr>
        <w:t xml:space="preserve">has argued (although the </w:t>
      </w:r>
      <w:r w:rsidR="00AF7461">
        <w:rPr>
          <w:rFonts w:ascii="Century Schoolbook" w:hAnsi="Century Schoolbook"/>
        </w:rPr>
        <w:t>d</w:t>
      </w:r>
      <w:r w:rsidR="00FF660F">
        <w:rPr>
          <w:rFonts w:ascii="Century Schoolbook" w:hAnsi="Century Schoolbook"/>
        </w:rPr>
        <w:t xml:space="preserve">istrict </w:t>
      </w:r>
      <w:r w:rsidR="00AF7461">
        <w:rPr>
          <w:rFonts w:ascii="Century Schoolbook" w:hAnsi="Century Schoolbook"/>
        </w:rPr>
        <w:t>c</w:t>
      </w:r>
      <w:r w:rsidR="00FF660F">
        <w:rPr>
          <w:rFonts w:ascii="Century Schoolbook" w:hAnsi="Century Schoolbook"/>
        </w:rPr>
        <w:t>ourt did not reach it)</w:t>
      </w:r>
      <w:r w:rsidR="00A10CFB" w:rsidRPr="0045295C">
        <w:rPr>
          <w:rFonts w:ascii="Century Schoolbook" w:hAnsi="Century Schoolbook"/>
        </w:rPr>
        <w:t xml:space="preserve">, the </w:t>
      </w:r>
      <w:r w:rsidRPr="0045295C">
        <w:rPr>
          <w:rFonts w:ascii="Century Schoolbook" w:hAnsi="Century Schoolbook"/>
        </w:rPr>
        <w:t xml:space="preserve">States </w:t>
      </w:r>
      <w:r w:rsidR="008D154F" w:rsidRPr="0045295C">
        <w:rPr>
          <w:rFonts w:ascii="Century Schoolbook" w:hAnsi="Century Schoolbook"/>
        </w:rPr>
        <w:t xml:space="preserve">were coerced into taking these funds and accepting this unconstitutional condition. In </w:t>
      </w:r>
      <w:r w:rsidR="008D154F" w:rsidRPr="0045295C">
        <w:rPr>
          <w:rFonts w:ascii="Century Schoolbook" w:hAnsi="Century Schoolbook"/>
          <w:i/>
        </w:rPr>
        <w:t>NFIB</w:t>
      </w:r>
      <w:r w:rsidR="008D154F" w:rsidRPr="0045295C">
        <w:rPr>
          <w:rFonts w:ascii="Century Schoolbook" w:hAnsi="Century Schoolbook"/>
        </w:rPr>
        <w:t xml:space="preserve">, the Court addressed Medicaid spending which “account[ed] for over 20 percent of the average State’s total budget, with federal funds covering 50 to 83 percent of those costs.” </w:t>
      </w:r>
      <w:bookmarkStart w:id="21" w:name="dabmci_ef04d9e222a94b1d8a648432ddf52bc5"/>
      <w:bookmarkStart w:id="22" w:name="dabmrv_ef04d9e222a94b1d8a648432ddf52bc5"/>
      <w:r w:rsidR="008D154F" w:rsidRPr="0045295C">
        <w:rPr>
          <w:rFonts w:ascii="Century Schoolbook" w:hAnsi="Century Schoolbook"/>
          <w:i/>
        </w:rPr>
        <w:t>NFIB</w:t>
      </w:r>
      <w:r w:rsidR="008D154F" w:rsidRPr="0045295C">
        <w:rPr>
          <w:rFonts w:ascii="Century Schoolbook" w:hAnsi="Century Schoolbook"/>
        </w:rPr>
        <w:t>, 567 U.S. at 581</w:t>
      </w:r>
      <w:bookmarkEnd w:id="21"/>
      <w:bookmarkEnd w:id="22"/>
      <w:r w:rsidR="004D3E07">
        <w:rPr>
          <w:rFonts w:ascii="Century Schoolbook" w:hAnsi="Century Schoolbook"/>
        </w:rPr>
        <w:fldChar w:fldCharType="begin"/>
      </w:r>
      <w:r w:rsidR="004D3E07">
        <w:instrText xml:space="preserve"> TA \s "Nat’l Fed’n of Indep. Bus. v. Sebelius (\"NFIB\"), 567 U.S. 519, 577 (2012)" </w:instrText>
      </w:r>
      <w:r w:rsidR="004D3E07">
        <w:rPr>
          <w:rFonts w:ascii="Century Schoolbook" w:hAnsi="Century Schoolbook"/>
        </w:rPr>
        <w:fldChar w:fldCharType="end"/>
      </w:r>
      <w:r w:rsidR="008D154F" w:rsidRPr="0045295C">
        <w:rPr>
          <w:rFonts w:ascii="Century Schoolbook" w:hAnsi="Century Schoolbook"/>
        </w:rPr>
        <w:t>. The</w:t>
      </w:r>
      <w:r w:rsidR="00A10CFB" w:rsidRPr="0045295C">
        <w:rPr>
          <w:rFonts w:ascii="Century Schoolbook" w:hAnsi="Century Schoolbook"/>
        </w:rPr>
        <w:t xml:space="preserve"> ARPA</w:t>
      </w:r>
      <w:r w:rsidR="008D154F" w:rsidRPr="0045295C">
        <w:rPr>
          <w:rFonts w:ascii="Century Schoolbook" w:hAnsi="Century Schoolbook"/>
        </w:rPr>
        <w:t xml:space="preserve"> funds </w:t>
      </w:r>
      <w:r w:rsidR="0000753E">
        <w:rPr>
          <w:rFonts w:ascii="Century Schoolbook" w:hAnsi="Century Schoolbook"/>
        </w:rPr>
        <w:t>loom similarly</w:t>
      </w:r>
      <w:r w:rsidR="008D154F" w:rsidRPr="0045295C">
        <w:rPr>
          <w:rFonts w:ascii="Century Schoolbook" w:hAnsi="Century Schoolbook"/>
        </w:rPr>
        <w:t xml:space="preserve"> </w:t>
      </w:r>
      <w:r w:rsidR="0000753E">
        <w:rPr>
          <w:rFonts w:ascii="Century Schoolbook" w:hAnsi="Century Schoolbook"/>
        </w:rPr>
        <w:t>large in</w:t>
      </w:r>
      <w:r w:rsidR="008D154F" w:rsidRPr="0045295C">
        <w:rPr>
          <w:rFonts w:ascii="Century Schoolbook" w:hAnsi="Century Schoolbook"/>
        </w:rPr>
        <w:t xml:space="preserve"> their scale, and the pandemic</w:t>
      </w:r>
      <w:r w:rsidR="00942ADE">
        <w:rPr>
          <w:rFonts w:ascii="Century Schoolbook" w:hAnsi="Century Schoolbook"/>
        </w:rPr>
        <w:t xml:space="preserve"> additionally</w:t>
      </w:r>
      <w:r w:rsidR="008D154F" w:rsidRPr="0045295C">
        <w:rPr>
          <w:rFonts w:ascii="Century Schoolbook" w:hAnsi="Century Schoolbook"/>
        </w:rPr>
        <w:t xml:space="preserve"> created unique economic pressures, making this money especially important</w:t>
      </w:r>
      <w:r w:rsidR="00A10CFB" w:rsidRPr="0045295C">
        <w:rPr>
          <w:rFonts w:ascii="Century Schoolbook" w:hAnsi="Century Schoolbook"/>
        </w:rPr>
        <w:t xml:space="preserve"> to State budgets</w:t>
      </w:r>
      <w:r w:rsidR="0000753E">
        <w:rPr>
          <w:rFonts w:ascii="Century Schoolbook" w:hAnsi="Century Schoolbook"/>
        </w:rPr>
        <w:t xml:space="preserve"> and </w:t>
      </w:r>
      <w:r w:rsidR="00856D6F">
        <w:rPr>
          <w:rFonts w:ascii="Century Schoolbook" w:hAnsi="Century Schoolbook"/>
        </w:rPr>
        <w:t xml:space="preserve">leaving </w:t>
      </w:r>
      <w:r w:rsidR="0000753E">
        <w:rPr>
          <w:rFonts w:ascii="Century Schoolbook" w:hAnsi="Century Schoolbook"/>
        </w:rPr>
        <w:t>the States particularly vulnerable to federal coercion</w:t>
      </w:r>
      <w:r w:rsidR="008D154F" w:rsidRPr="0045295C">
        <w:rPr>
          <w:rFonts w:ascii="Century Schoolbook" w:hAnsi="Century Schoolbook"/>
        </w:rPr>
        <w:t xml:space="preserve">. </w:t>
      </w:r>
    </w:p>
    <w:p w:rsidR="008D154F" w:rsidRPr="0045295C" w:rsidRDefault="00C75303" w:rsidP="005E0CBE">
      <w:pPr>
        <w:pStyle w:val="Body"/>
        <w:jc w:val="both"/>
        <w:rPr>
          <w:rFonts w:ascii="Century Schoolbook" w:hAnsi="Century Schoolbook"/>
        </w:rPr>
      </w:pPr>
      <w:r>
        <w:rPr>
          <w:rFonts w:ascii="Century Schoolbook" w:hAnsi="Century Schoolbook"/>
        </w:rPr>
        <w:t xml:space="preserve">In sum, </w:t>
      </w:r>
      <w:r w:rsidR="00FF660F">
        <w:rPr>
          <w:rFonts w:ascii="Century Schoolbook" w:hAnsi="Century Schoolbook"/>
        </w:rPr>
        <w:t>Ohio’s</w:t>
      </w:r>
      <w:r>
        <w:rPr>
          <w:rFonts w:ascii="Century Schoolbook" w:hAnsi="Century Schoolbook"/>
        </w:rPr>
        <w:t xml:space="preserve"> injury in this case is the same injury that gives plaintiffs standing in every unconstitutional-conditions case: being forced to choose between exercising its constitutional</w:t>
      </w:r>
      <w:r w:rsidR="000C70D0">
        <w:rPr>
          <w:rFonts w:ascii="Century Schoolbook" w:hAnsi="Century Schoolbook"/>
        </w:rPr>
        <w:t xml:space="preserve"> rights and </w:t>
      </w:r>
      <w:r w:rsidR="0046408F">
        <w:rPr>
          <w:rFonts w:ascii="Century Schoolbook" w:hAnsi="Century Schoolbook"/>
        </w:rPr>
        <w:t>receiving a government benefit</w:t>
      </w:r>
      <w:r w:rsidR="000C70D0">
        <w:rPr>
          <w:rFonts w:ascii="Century Schoolbook" w:hAnsi="Century Schoolbook"/>
        </w:rPr>
        <w:t xml:space="preserve">. </w:t>
      </w:r>
      <w:r w:rsidR="000C70D0">
        <w:rPr>
          <w:rFonts w:ascii="Century Schoolbook" w:hAnsi="Century Schoolbook"/>
          <w:i/>
          <w:iCs w:val="0"/>
        </w:rPr>
        <w:t xml:space="preserve">See </w:t>
      </w:r>
      <w:r w:rsidR="000C70D0" w:rsidRPr="000C70D0">
        <w:rPr>
          <w:rFonts w:ascii="Century Schoolbook" w:hAnsi="Century Schoolbook"/>
          <w:i/>
        </w:rPr>
        <w:t>Rumsfeld v. Forum for Acad. &amp; Institutional Rights, Inc.</w:t>
      </w:r>
      <w:r w:rsidR="000C70D0" w:rsidRPr="000C70D0">
        <w:rPr>
          <w:rFonts w:ascii="Century Schoolbook" w:hAnsi="Century Schoolbook"/>
        </w:rPr>
        <w:t>, 547 U.S. 47, 52</w:t>
      </w:r>
      <w:r w:rsidR="000C70D0">
        <w:rPr>
          <w:rFonts w:ascii="Century Schoolbook" w:hAnsi="Century Schoolbook"/>
        </w:rPr>
        <w:t>–53</w:t>
      </w:r>
      <w:r w:rsidR="000C70D0" w:rsidRPr="000C70D0">
        <w:rPr>
          <w:rFonts w:ascii="Century Schoolbook" w:hAnsi="Century Schoolbook"/>
        </w:rPr>
        <w:t xml:space="preserve"> </w:t>
      </w:r>
      <w:r w:rsidR="000C70D0">
        <w:rPr>
          <w:rFonts w:ascii="Century Schoolbook" w:hAnsi="Century Schoolbook"/>
        </w:rPr>
        <w:t xml:space="preserve">&amp; </w:t>
      </w:r>
      <w:r w:rsidR="000C70D0" w:rsidRPr="000C70D0">
        <w:rPr>
          <w:rFonts w:ascii="Century Schoolbook" w:hAnsi="Century Schoolbook"/>
        </w:rPr>
        <w:t>n.2 (2006)</w:t>
      </w:r>
      <w:r w:rsidR="004D3E07">
        <w:rPr>
          <w:rFonts w:ascii="Century Schoolbook" w:hAnsi="Century Schoolbook"/>
        </w:rPr>
        <w:fldChar w:fldCharType="begin"/>
      </w:r>
      <w:r w:rsidR="004D3E07">
        <w:instrText xml:space="preserve"> TA \l "</w:instrText>
      </w:r>
      <w:r w:rsidR="004D3E07" w:rsidRPr="003846F0">
        <w:rPr>
          <w:rFonts w:ascii="Century Schoolbook" w:hAnsi="Century Schoolbook"/>
          <w:i/>
        </w:rPr>
        <w:instrText>Rumsfeld v. Forum for Acad. &amp; Institutional Rights, Inc.</w:instrText>
      </w:r>
      <w:r w:rsidR="004D3E07" w:rsidRPr="003846F0">
        <w:rPr>
          <w:rFonts w:ascii="Century Schoolbook" w:hAnsi="Century Schoolbook"/>
        </w:rPr>
        <w:instrText xml:space="preserve">, </w:instrText>
      </w:r>
      <w:r w:rsidR="004D3E07" w:rsidRPr="003846F0">
        <w:rPr>
          <w:rFonts w:ascii="Century Schoolbook" w:hAnsi="Century Schoolbook"/>
        </w:rPr>
        <w:br/>
        <w:instrText>547 U.S. 47 (2006)</w:instrText>
      </w:r>
      <w:r w:rsidR="004D3E07">
        <w:instrText xml:space="preserve">" \s "Rumsfeld v. Forum for Acad. &amp; Institutional Rights, Inc., 547 U.S. 47, 52–53 &amp; n.2 (2006)" \c 1 </w:instrText>
      </w:r>
      <w:r w:rsidR="004D3E07">
        <w:rPr>
          <w:rFonts w:ascii="Century Schoolbook" w:hAnsi="Century Schoolbook"/>
        </w:rPr>
        <w:fldChar w:fldCharType="end"/>
      </w:r>
      <w:r w:rsidR="000C70D0">
        <w:rPr>
          <w:rFonts w:ascii="Century Schoolbook" w:hAnsi="Century Schoolbook"/>
        </w:rPr>
        <w:t>. T</w:t>
      </w:r>
      <w:r w:rsidR="008D154F" w:rsidRPr="0045295C">
        <w:rPr>
          <w:rFonts w:ascii="Century Schoolbook" w:hAnsi="Century Schoolbook"/>
        </w:rPr>
        <w:t xml:space="preserve">he </w:t>
      </w:r>
      <w:r w:rsidR="008D154F" w:rsidRPr="0045295C">
        <w:rPr>
          <w:rFonts w:ascii="Century Schoolbook" w:hAnsi="Century Schoolbook"/>
          <w:i/>
        </w:rPr>
        <w:t xml:space="preserve">West Virginia </w:t>
      </w:r>
      <w:r w:rsidR="008D154F" w:rsidRPr="0045295C">
        <w:rPr>
          <w:rFonts w:ascii="Century Schoolbook" w:hAnsi="Century Schoolbook"/>
        </w:rPr>
        <w:t xml:space="preserve">court </w:t>
      </w:r>
      <w:r w:rsidR="000C70D0">
        <w:rPr>
          <w:rFonts w:ascii="Century Schoolbook" w:hAnsi="Century Schoolbook"/>
        </w:rPr>
        <w:t>correctly recognized as much</w:t>
      </w:r>
      <w:r w:rsidR="008D154F" w:rsidRPr="0045295C">
        <w:rPr>
          <w:rFonts w:ascii="Century Schoolbook" w:hAnsi="Century Schoolbook"/>
        </w:rPr>
        <w:t xml:space="preserve">: “Their injury in fact is having to choose between forgoing a benefit (federal funds) or accepting that benefit on unconstitutional terms.” </w:t>
      </w:r>
      <w:r w:rsidR="008D154F" w:rsidRPr="0045295C">
        <w:rPr>
          <w:rFonts w:ascii="Century Schoolbook" w:hAnsi="Century Schoolbook"/>
          <w:i/>
        </w:rPr>
        <w:t>West Virginia</w:t>
      </w:r>
      <w:r w:rsidR="008D154F" w:rsidRPr="0045295C">
        <w:rPr>
          <w:rFonts w:ascii="Century Schoolbook" w:hAnsi="Century Schoolbook"/>
        </w:rPr>
        <w:t xml:space="preserve">, </w:t>
      </w:r>
      <w:r w:rsidR="008160DF" w:rsidRPr="008160DF">
        <w:rPr>
          <w:rFonts w:ascii="Century Schoolbook" w:hAnsi="Century Schoolbook"/>
        </w:rPr>
        <w:t>2021 WL 2952863</w:t>
      </w:r>
      <w:r w:rsidR="008160DF">
        <w:rPr>
          <w:rFonts w:ascii="Century Schoolbook" w:hAnsi="Century Schoolbook"/>
        </w:rPr>
        <w:t xml:space="preserve"> at *7</w:t>
      </w:r>
      <w:r w:rsidR="004D3E07">
        <w:rPr>
          <w:rFonts w:ascii="Century Schoolbook" w:hAnsi="Century Schoolbook"/>
        </w:rPr>
        <w:fldChar w:fldCharType="begin"/>
      </w:r>
      <w:r w:rsidR="004D3E07">
        <w:instrText xml:space="preserve"> TA \s "West Virginia v. U.S. Dep’t. of Treasury, 21-cv-00465, 2021 WL 2952863, at *7 (D. Ala. Jul. 14, 2021)" </w:instrText>
      </w:r>
      <w:r w:rsidR="004D3E07">
        <w:rPr>
          <w:rFonts w:ascii="Century Schoolbook" w:hAnsi="Century Schoolbook"/>
        </w:rPr>
        <w:fldChar w:fldCharType="end"/>
      </w:r>
      <w:r w:rsidR="008D154F" w:rsidRPr="0045295C">
        <w:rPr>
          <w:rFonts w:ascii="Century Schoolbook" w:hAnsi="Century Schoolbook"/>
        </w:rPr>
        <w:t xml:space="preserve">. </w:t>
      </w:r>
    </w:p>
    <w:p w:rsidR="00C00D95" w:rsidRPr="0045295C" w:rsidRDefault="00325F34" w:rsidP="005E0CBE">
      <w:pPr>
        <w:pStyle w:val="Body"/>
        <w:jc w:val="both"/>
        <w:rPr>
          <w:rFonts w:ascii="Century Schoolbook" w:hAnsi="Century Schoolbook"/>
        </w:rPr>
      </w:pPr>
      <w:r w:rsidRPr="0045295C">
        <w:rPr>
          <w:rFonts w:ascii="Century Schoolbook" w:hAnsi="Century Schoolbook"/>
        </w:rPr>
        <w:t xml:space="preserve">The </w:t>
      </w:r>
      <w:r w:rsidR="0000753E">
        <w:rPr>
          <w:rFonts w:ascii="Century Schoolbook" w:hAnsi="Century Schoolbook"/>
        </w:rPr>
        <w:t>justiciability</w:t>
      </w:r>
      <w:r w:rsidRPr="0045295C">
        <w:rPr>
          <w:rFonts w:ascii="Century Schoolbook" w:hAnsi="Century Schoolbook"/>
        </w:rPr>
        <w:t xml:space="preserve"> of </w:t>
      </w:r>
      <w:r w:rsidR="00FF660F">
        <w:rPr>
          <w:rFonts w:ascii="Century Schoolbook" w:hAnsi="Century Schoolbook"/>
        </w:rPr>
        <w:t xml:space="preserve">Ohio’s </w:t>
      </w:r>
      <w:r w:rsidRPr="0045295C">
        <w:rPr>
          <w:rFonts w:ascii="Century Schoolbook" w:hAnsi="Century Schoolbook"/>
        </w:rPr>
        <w:t xml:space="preserve">injuries at this stage is </w:t>
      </w:r>
      <w:r w:rsidR="0000753E">
        <w:rPr>
          <w:rFonts w:ascii="Century Schoolbook" w:hAnsi="Century Schoolbook"/>
        </w:rPr>
        <w:t>underscored</w:t>
      </w:r>
      <w:r w:rsidRPr="0045295C">
        <w:rPr>
          <w:rFonts w:ascii="Century Schoolbook" w:hAnsi="Century Schoolbook"/>
        </w:rPr>
        <w:t xml:space="preserve"> by the Supreme Court’s decision in </w:t>
      </w:r>
      <w:bookmarkStart w:id="23" w:name="dabmci_e92e8ef41b1243dc8daf10d44dcdbe5c"/>
      <w:r w:rsidRPr="0045295C">
        <w:rPr>
          <w:rFonts w:ascii="Century Schoolbook" w:hAnsi="Century Schoolbook"/>
          <w:i/>
        </w:rPr>
        <w:t xml:space="preserve">NFIB </w:t>
      </w:r>
      <w:r w:rsidRPr="0045295C">
        <w:rPr>
          <w:rFonts w:ascii="Century Schoolbook" w:hAnsi="Century Schoolbook"/>
        </w:rPr>
        <w:t>itself.</w:t>
      </w:r>
      <w:bookmarkEnd w:id="23"/>
      <w:r w:rsidRPr="0045295C">
        <w:rPr>
          <w:rFonts w:ascii="Century Schoolbook" w:hAnsi="Century Schoolbook"/>
        </w:rPr>
        <w:t xml:space="preserve"> </w:t>
      </w:r>
      <w:r w:rsidRPr="0045295C">
        <w:rPr>
          <w:rFonts w:ascii="Century Schoolbook" w:hAnsi="Century Schoolbook"/>
          <w:i/>
        </w:rPr>
        <w:t xml:space="preserve">NFIB </w:t>
      </w:r>
      <w:r w:rsidRPr="0045295C">
        <w:rPr>
          <w:rFonts w:ascii="Century Schoolbook" w:hAnsi="Century Schoolbook"/>
        </w:rPr>
        <w:t xml:space="preserve">involved a challenge brought by several states under the Spending Clause to a provision of the Affordable Care Act that did not go into effect until </w:t>
      </w:r>
      <w:r w:rsidRPr="0045295C">
        <w:rPr>
          <w:rFonts w:ascii="Century Schoolbook" w:hAnsi="Century Schoolbook"/>
          <w:i/>
        </w:rPr>
        <w:t>4 years</w:t>
      </w:r>
      <w:r w:rsidRPr="0045295C">
        <w:rPr>
          <w:rFonts w:ascii="Century Schoolbook" w:hAnsi="Century Schoolbook"/>
        </w:rPr>
        <w:t xml:space="preserve"> after the challenge was filed. </w:t>
      </w:r>
      <w:r w:rsidRPr="0045295C">
        <w:rPr>
          <w:rFonts w:ascii="Century Schoolbook" w:hAnsi="Century Schoolbook"/>
          <w:i/>
        </w:rPr>
        <w:t xml:space="preserve">See </w:t>
      </w:r>
      <w:bookmarkStart w:id="24" w:name="dabmci_45d909b028ce4af785b0bc3a9e564306"/>
      <w:r w:rsidR="00F352A7" w:rsidRPr="0045295C">
        <w:rPr>
          <w:rFonts w:ascii="Century Schoolbook" w:hAnsi="Century Schoolbook"/>
          <w:i/>
        </w:rPr>
        <w:t>NFIB</w:t>
      </w:r>
      <w:r w:rsidR="00F352A7" w:rsidRPr="0045295C">
        <w:rPr>
          <w:rFonts w:ascii="Century Schoolbook" w:hAnsi="Century Schoolbook"/>
        </w:rPr>
        <w:t>, 567 U.S. at 539</w:t>
      </w:r>
      <w:r w:rsidR="004D3E07">
        <w:rPr>
          <w:rFonts w:ascii="Century Schoolbook" w:hAnsi="Century Schoolbook"/>
        </w:rPr>
        <w:fldChar w:fldCharType="begin"/>
      </w:r>
      <w:r w:rsidR="004D3E07">
        <w:instrText xml:space="preserve"> TA \s "Nat’l Fed’n of Indep. Bus. v. Sebelius (\"NFIB\"), 567 U.S. 519, 577 (2012)" </w:instrText>
      </w:r>
      <w:r w:rsidR="004D3E07">
        <w:rPr>
          <w:rFonts w:ascii="Century Schoolbook" w:hAnsi="Century Schoolbook"/>
        </w:rPr>
        <w:fldChar w:fldCharType="end"/>
      </w:r>
      <w:r w:rsidRPr="0045295C">
        <w:rPr>
          <w:rFonts w:ascii="Century Schoolbook" w:hAnsi="Century Schoolbook"/>
          <w:i/>
        </w:rPr>
        <w:t>.</w:t>
      </w:r>
      <w:bookmarkEnd w:id="24"/>
      <w:r w:rsidRPr="0045295C">
        <w:rPr>
          <w:rFonts w:ascii="Century Schoolbook" w:hAnsi="Century Schoolbook"/>
          <w:i/>
        </w:rPr>
        <w:t xml:space="preserve"> </w:t>
      </w:r>
      <w:r w:rsidRPr="0045295C">
        <w:rPr>
          <w:rFonts w:ascii="Century Schoolbook" w:hAnsi="Century Schoolbook"/>
        </w:rPr>
        <w:t xml:space="preserve">Yet </w:t>
      </w:r>
      <w:r w:rsidR="0000753E">
        <w:rPr>
          <w:rFonts w:ascii="Century Schoolbook" w:hAnsi="Century Schoolbook"/>
        </w:rPr>
        <w:t>not one</w:t>
      </w:r>
      <w:r w:rsidRPr="0045295C">
        <w:rPr>
          <w:rFonts w:ascii="Century Schoolbook" w:hAnsi="Century Schoolbook"/>
        </w:rPr>
        <w:t xml:space="preserve"> of the several opinions of the Supreme Court Justices raised any concern over whether a State could </w:t>
      </w:r>
      <w:r w:rsidR="00E11463" w:rsidRPr="0045295C">
        <w:rPr>
          <w:rFonts w:ascii="Century Schoolbook" w:hAnsi="Century Schoolbook"/>
        </w:rPr>
        <w:t>bring</w:t>
      </w:r>
      <w:r w:rsidRPr="0045295C">
        <w:rPr>
          <w:rFonts w:ascii="Century Schoolbook" w:hAnsi="Century Schoolbook"/>
        </w:rPr>
        <w:t xml:space="preserve"> this pre-enforcement challenge.</w:t>
      </w:r>
      <w:r w:rsidR="0000753E">
        <w:rPr>
          <w:rFonts w:ascii="Century Schoolbook" w:hAnsi="Century Schoolbook"/>
        </w:rPr>
        <w:t xml:space="preserve"> Instead, all nine Justices apparently viewed the States’ standing as so obvious that it did not merit discussion.</w:t>
      </w:r>
      <w:r w:rsidRPr="0045295C">
        <w:rPr>
          <w:rFonts w:ascii="Century Schoolbook" w:hAnsi="Century Schoolbook"/>
        </w:rPr>
        <w:t xml:space="preserve"> </w:t>
      </w:r>
      <w:r w:rsidR="00F52872" w:rsidRPr="0045295C">
        <w:rPr>
          <w:rFonts w:ascii="Century Schoolbook" w:hAnsi="Century Schoolbook"/>
          <w:i/>
        </w:rPr>
        <w:t>NFIB</w:t>
      </w:r>
      <w:r w:rsidR="00F52872" w:rsidRPr="0045295C">
        <w:rPr>
          <w:rFonts w:ascii="Century Schoolbook" w:hAnsi="Century Schoolbook"/>
        </w:rPr>
        <w:t xml:space="preserve"> therefore</w:t>
      </w:r>
      <w:r w:rsidRPr="0045295C">
        <w:rPr>
          <w:rFonts w:ascii="Century Schoolbook" w:hAnsi="Century Schoolbook"/>
        </w:rPr>
        <w:t xml:space="preserve"> strongly implies that standing exist</w:t>
      </w:r>
      <w:r w:rsidR="0000753E">
        <w:rPr>
          <w:rFonts w:ascii="Century Schoolbook" w:hAnsi="Century Schoolbook"/>
        </w:rPr>
        <w:t>s here as well</w:t>
      </w:r>
      <w:r w:rsidRPr="0045295C">
        <w:rPr>
          <w:rFonts w:ascii="Century Schoolbook" w:hAnsi="Century Schoolbook"/>
        </w:rPr>
        <w:t>, where the unconstitutional condition is being imposed immediately</w:t>
      </w:r>
      <w:r w:rsidR="0000753E">
        <w:rPr>
          <w:rFonts w:ascii="Century Schoolbook" w:hAnsi="Century Schoolbook"/>
        </w:rPr>
        <w:t>—rather than set to go into effect four years later.</w:t>
      </w:r>
    </w:p>
    <w:p w:rsidR="00F352A7" w:rsidRPr="0045295C" w:rsidRDefault="00FF660F" w:rsidP="005E0CBE">
      <w:pPr>
        <w:pStyle w:val="Heading1"/>
        <w:jc w:val="both"/>
        <w:rPr>
          <w:rFonts w:ascii="Century Schoolbook" w:hAnsi="Century Schoolbook"/>
        </w:rPr>
      </w:pPr>
      <w:bookmarkStart w:id="25" w:name="_Toc77693848"/>
      <w:r>
        <w:rPr>
          <w:rFonts w:ascii="Century Schoolbook" w:hAnsi="Century Schoolbook"/>
          <w:lang w:val="en-US"/>
        </w:rPr>
        <w:t xml:space="preserve">Ohio </w:t>
      </w:r>
      <w:r w:rsidR="00F352A7" w:rsidRPr="0045295C">
        <w:rPr>
          <w:rFonts w:ascii="Century Schoolbook" w:hAnsi="Century Schoolbook"/>
        </w:rPr>
        <w:t>Suffer</w:t>
      </w:r>
      <w:r w:rsidR="00B845F8">
        <w:rPr>
          <w:rFonts w:ascii="Century Schoolbook" w:hAnsi="Century Schoolbook"/>
        </w:rPr>
        <w:t>s</w:t>
      </w:r>
      <w:r w:rsidR="00F352A7" w:rsidRPr="0045295C">
        <w:rPr>
          <w:rFonts w:ascii="Century Schoolbook" w:hAnsi="Century Schoolbook"/>
        </w:rPr>
        <w:t xml:space="preserve"> </w:t>
      </w:r>
      <w:proofErr w:type="gramStart"/>
      <w:r w:rsidR="00F352A7" w:rsidRPr="0045295C">
        <w:rPr>
          <w:rFonts w:ascii="Century Schoolbook" w:hAnsi="Century Schoolbook"/>
        </w:rPr>
        <w:t>An</w:t>
      </w:r>
      <w:proofErr w:type="gramEnd"/>
      <w:r w:rsidR="00F352A7" w:rsidRPr="0045295C">
        <w:rPr>
          <w:rFonts w:ascii="Century Schoolbook" w:hAnsi="Century Schoolbook"/>
        </w:rPr>
        <w:t xml:space="preserve"> Imminent Injury From The Threatened Enforcement Of The Tax Mandate</w:t>
      </w:r>
      <w:bookmarkEnd w:id="25"/>
    </w:p>
    <w:p w:rsidR="004A6199" w:rsidRPr="0045295C" w:rsidRDefault="0000753E" w:rsidP="0000753E">
      <w:pPr>
        <w:pStyle w:val="Body"/>
        <w:jc w:val="both"/>
        <w:rPr>
          <w:rFonts w:ascii="Century Schoolbook" w:hAnsi="Century Schoolbook"/>
        </w:rPr>
      </w:pPr>
      <w:r>
        <w:rPr>
          <w:rFonts w:ascii="Century Schoolbook" w:hAnsi="Century Schoolbook"/>
        </w:rPr>
        <w:t xml:space="preserve">In any event, even if satisfying the </w:t>
      </w:r>
      <w:r>
        <w:rPr>
          <w:rFonts w:ascii="Century Schoolbook" w:hAnsi="Century Schoolbook"/>
          <w:i/>
          <w:iCs w:val="0"/>
        </w:rPr>
        <w:t xml:space="preserve">Susan B. Anthony </w:t>
      </w:r>
      <w:r>
        <w:rPr>
          <w:rFonts w:ascii="Century Schoolbook" w:hAnsi="Century Schoolbook"/>
        </w:rPr>
        <w:t xml:space="preserve">test for pre-enforcement challenges was the sole avenue for </w:t>
      </w:r>
      <w:r w:rsidR="00FF660F">
        <w:rPr>
          <w:rFonts w:ascii="Century Schoolbook" w:hAnsi="Century Schoolbook"/>
        </w:rPr>
        <w:t>Ohio</w:t>
      </w:r>
      <w:r>
        <w:rPr>
          <w:rFonts w:ascii="Century Schoolbook" w:hAnsi="Century Schoolbook"/>
        </w:rPr>
        <w:t xml:space="preserve"> to establish standing, </w:t>
      </w:r>
      <w:r w:rsidR="00481A07">
        <w:rPr>
          <w:rFonts w:ascii="Century Schoolbook" w:hAnsi="Century Schoolbook"/>
        </w:rPr>
        <w:t>Federal Defendants’</w:t>
      </w:r>
      <w:r w:rsidR="00FF660F">
        <w:rPr>
          <w:rFonts w:ascii="Century Schoolbook" w:hAnsi="Century Schoolbook"/>
        </w:rPr>
        <w:t xml:space="preserve"> argument fails by relying exclusively on Ohio’s alleged failure to show that its tax revenue would decrease</w:t>
      </w:r>
      <w:r>
        <w:rPr>
          <w:rFonts w:ascii="Century Schoolbook" w:hAnsi="Century Schoolbook"/>
        </w:rPr>
        <w:t xml:space="preserve"> </w:t>
      </w:r>
    </w:p>
    <w:p w:rsidR="00E11463" w:rsidRPr="0045295C" w:rsidRDefault="00FF660F" w:rsidP="005E0CBE">
      <w:pPr>
        <w:pStyle w:val="Heading2"/>
        <w:jc w:val="both"/>
        <w:rPr>
          <w:rFonts w:ascii="Century Schoolbook" w:hAnsi="Century Schoolbook"/>
        </w:rPr>
      </w:pPr>
      <w:bookmarkStart w:id="26" w:name="_Toc77693849"/>
      <w:r>
        <w:rPr>
          <w:rFonts w:ascii="Century Schoolbook" w:hAnsi="Century Schoolbook"/>
        </w:rPr>
        <w:t xml:space="preserve">Ohio </w:t>
      </w:r>
      <w:r w:rsidR="00E11463" w:rsidRPr="0045295C">
        <w:rPr>
          <w:rFonts w:ascii="Century Schoolbook" w:hAnsi="Century Schoolbook"/>
        </w:rPr>
        <w:t xml:space="preserve">Has A Constitutionally Protected Interest </w:t>
      </w:r>
      <w:proofErr w:type="gramStart"/>
      <w:r w:rsidR="003E3AF8">
        <w:rPr>
          <w:rFonts w:ascii="Century Schoolbook" w:hAnsi="Century Schoolbook"/>
        </w:rPr>
        <w:t>I</w:t>
      </w:r>
      <w:r w:rsidR="003E3AF8" w:rsidRPr="0045295C">
        <w:rPr>
          <w:rFonts w:ascii="Century Schoolbook" w:hAnsi="Century Schoolbook"/>
        </w:rPr>
        <w:t>n</w:t>
      </w:r>
      <w:proofErr w:type="gramEnd"/>
      <w:r w:rsidR="003E3AF8" w:rsidRPr="0045295C">
        <w:rPr>
          <w:rFonts w:ascii="Century Schoolbook" w:hAnsi="Century Schoolbook"/>
        </w:rPr>
        <w:t xml:space="preserve"> </w:t>
      </w:r>
      <w:r w:rsidR="00E11463" w:rsidRPr="0045295C">
        <w:rPr>
          <w:rFonts w:ascii="Century Schoolbook" w:hAnsi="Century Schoolbook"/>
        </w:rPr>
        <w:t>Accepting ARPA Funds</w:t>
      </w:r>
      <w:bookmarkEnd w:id="26"/>
    </w:p>
    <w:p w:rsidR="00C80467" w:rsidRPr="007D100C" w:rsidRDefault="00694A51" w:rsidP="005E0CBE">
      <w:pPr>
        <w:pStyle w:val="Body"/>
        <w:jc w:val="both"/>
        <w:rPr>
          <w:rFonts w:ascii="Century Schoolbook" w:hAnsi="Century Schoolbook"/>
        </w:rPr>
      </w:pPr>
      <w:r>
        <w:rPr>
          <w:rFonts w:ascii="Century Schoolbook" w:hAnsi="Century Schoolbook"/>
        </w:rPr>
        <w:t>Ohio</w:t>
      </w:r>
      <w:r w:rsidR="00A0329C" w:rsidRPr="0045295C">
        <w:rPr>
          <w:rFonts w:ascii="Century Schoolbook" w:hAnsi="Century Schoolbook"/>
        </w:rPr>
        <w:t xml:space="preserve"> need only show that it has intent to engage in a course of conduct “arguably affected with a constitutional interest.”</w:t>
      </w:r>
      <w:r w:rsidR="00C80467" w:rsidRPr="0045295C">
        <w:rPr>
          <w:rFonts w:ascii="Century Schoolbook" w:hAnsi="Century Schoolbook"/>
        </w:rPr>
        <w:t xml:space="preserve"> </w:t>
      </w:r>
      <w:r w:rsidR="00A0329C" w:rsidRPr="0045295C">
        <w:rPr>
          <w:rFonts w:ascii="Century Schoolbook" w:hAnsi="Century Schoolbook"/>
          <w:i/>
        </w:rPr>
        <w:t>Susan B. Anthony List</w:t>
      </w:r>
      <w:r w:rsidR="00A0329C" w:rsidRPr="0045295C">
        <w:rPr>
          <w:rFonts w:ascii="Century Schoolbook" w:hAnsi="Century Schoolbook"/>
        </w:rPr>
        <w:t>, 573 U.S. at 158</w:t>
      </w:r>
      <w:r w:rsidR="004D3E07">
        <w:rPr>
          <w:rFonts w:ascii="Century Schoolbook" w:hAnsi="Century Schoolbook"/>
        </w:rPr>
        <w:fldChar w:fldCharType="begin"/>
      </w:r>
      <w:r w:rsidR="004D3E07">
        <w:instrText xml:space="preserve"> TA \s "Susan B. Anthony List v. Driehaus, 573 U.S. 149, 158 (2014)" </w:instrText>
      </w:r>
      <w:r w:rsidR="004D3E07">
        <w:rPr>
          <w:rFonts w:ascii="Century Schoolbook" w:hAnsi="Century Schoolbook"/>
        </w:rPr>
        <w:fldChar w:fldCharType="end"/>
      </w:r>
      <w:r w:rsidR="00A0329C" w:rsidRPr="0045295C">
        <w:rPr>
          <w:rFonts w:ascii="Century Schoolbook" w:hAnsi="Century Schoolbook"/>
        </w:rPr>
        <w:t>.</w:t>
      </w:r>
      <w:r>
        <w:rPr>
          <w:rFonts w:ascii="Century Schoolbook" w:hAnsi="Century Schoolbook"/>
        </w:rPr>
        <w:t xml:space="preserve"> Ohio has the requisite </w:t>
      </w:r>
      <w:r w:rsidR="00E11463" w:rsidRPr="0045295C">
        <w:rPr>
          <w:rFonts w:ascii="Century Schoolbook" w:hAnsi="Century Schoolbook"/>
        </w:rPr>
        <w:t xml:space="preserve">constitutional interest </w:t>
      </w:r>
      <w:r>
        <w:rPr>
          <w:rFonts w:ascii="Century Schoolbook" w:hAnsi="Century Schoolbook"/>
        </w:rPr>
        <w:t xml:space="preserve">here because </w:t>
      </w:r>
      <w:r w:rsidR="007D100C">
        <w:rPr>
          <w:rFonts w:ascii="Century Schoolbook" w:hAnsi="Century Schoolbook"/>
        </w:rPr>
        <w:t xml:space="preserve">it has a statutory entitlement to funds under ARPA. Ohio, however, has already cut taxes and wants to continue to have authority to cut taxes into the future. This desired course of conduct is affected with a constitutional interest; the State taxing power is “indispensable” to State’s sovereign authority. </w:t>
      </w:r>
      <w:r w:rsidR="007D100C">
        <w:rPr>
          <w:rFonts w:ascii="Century Schoolbook" w:hAnsi="Century Schoolbook"/>
          <w:i/>
          <w:iCs w:val="0"/>
        </w:rPr>
        <w:t>Gibbons v. Ogden</w:t>
      </w:r>
      <w:r w:rsidR="007D100C">
        <w:rPr>
          <w:rFonts w:ascii="Century Schoolbook" w:hAnsi="Century Schoolbook"/>
        </w:rPr>
        <w:t>, 9 Wheat. 1, 199 (1824).</w:t>
      </w:r>
    </w:p>
    <w:p w:rsidR="00E11463" w:rsidRPr="0045295C" w:rsidRDefault="00481A07" w:rsidP="005E0CBE">
      <w:pPr>
        <w:pStyle w:val="Heading2"/>
        <w:jc w:val="both"/>
        <w:rPr>
          <w:rFonts w:ascii="Century Schoolbook" w:hAnsi="Century Schoolbook"/>
        </w:rPr>
      </w:pPr>
      <w:bookmarkStart w:id="27" w:name="_Toc77693850"/>
      <w:r>
        <w:rPr>
          <w:rFonts w:ascii="Century Schoolbook" w:hAnsi="Century Schoolbook"/>
        </w:rPr>
        <w:t>Ohio</w:t>
      </w:r>
      <w:r w:rsidR="00E11463" w:rsidRPr="0045295C">
        <w:rPr>
          <w:rFonts w:ascii="Century Schoolbook" w:hAnsi="Century Schoolbook"/>
        </w:rPr>
        <w:t xml:space="preserve"> Faces A Realistic Danger </w:t>
      </w:r>
      <w:proofErr w:type="gramStart"/>
      <w:r w:rsidR="003E3AF8">
        <w:rPr>
          <w:rFonts w:ascii="Century Schoolbook" w:hAnsi="Century Schoolbook"/>
        </w:rPr>
        <w:t>O</w:t>
      </w:r>
      <w:r w:rsidR="003E3AF8" w:rsidRPr="0045295C">
        <w:rPr>
          <w:rFonts w:ascii="Century Schoolbook" w:hAnsi="Century Schoolbook"/>
        </w:rPr>
        <w:t>f</w:t>
      </w:r>
      <w:proofErr w:type="gramEnd"/>
      <w:r w:rsidR="003E3AF8" w:rsidRPr="0045295C">
        <w:rPr>
          <w:rFonts w:ascii="Century Schoolbook" w:hAnsi="Century Schoolbook"/>
        </w:rPr>
        <w:t xml:space="preserve"> </w:t>
      </w:r>
      <w:r w:rsidR="00E11463" w:rsidRPr="0045295C">
        <w:rPr>
          <w:rFonts w:ascii="Century Schoolbook" w:hAnsi="Century Schoolbook"/>
        </w:rPr>
        <w:t>Enforcement</w:t>
      </w:r>
      <w:bookmarkEnd w:id="27"/>
    </w:p>
    <w:p w:rsidR="00A64829" w:rsidRDefault="007D100C" w:rsidP="005E0CBE">
      <w:pPr>
        <w:pStyle w:val="Body"/>
        <w:jc w:val="both"/>
        <w:rPr>
          <w:rFonts w:ascii="Century Schoolbook" w:hAnsi="Century Schoolbook"/>
        </w:rPr>
      </w:pPr>
      <w:r>
        <w:rPr>
          <w:rFonts w:ascii="Century Schoolbook" w:hAnsi="Century Schoolbook"/>
        </w:rPr>
        <w:t xml:space="preserve">Ohio next needs </w:t>
      </w:r>
      <w:r w:rsidR="00A576A1" w:rsidRPr="0045295C">
        <w:rPr>
          <w:rFonts w:ascii="Century Schoolbook" w:hAnsi="Century Schoolbook"/>
        </w:rPr>
        <w:t>to show that it face</w:t>
      </w:r>
      <w:r>
        <w:rPr>
          <w:rFonts w:ascii="Century Schoolbook" w:hAnsi="Century Schoolbook"/>
        </w:rPr>
        <w:t>s</w:t>
      </w:r>
      <w:r w:rsidR="00A576A1" w:rsidRPr="0045295C">
        <w:rPr>
          <w:rFonts w:ascii="Century Schoolbook" w:hAnsi="Century Schoolbook"/>
        </w:rPr>
        <w:t xml:space="preserve"> </w:t>
      </w:r>
      <w:r w:rsidR="0042387C" w:rsidRPr="0045295C">
        <w:rPr>
          <w:rFonts w:ascii="Century Schoolbook" w:hAnsi="Century Schoolbook"/>
        </w:rPr>
        <w:t xml:space="preserve">“realistic danger of sustaining a direct injury as a result of the statute’s operation or enforcement.” </w:t>
      </w:r>
      <w:r w:rsidR="0042387C" w:rsidRPr="0045295C">
        <w:rPr>
          <w:rFonts w:ascii="Century Schoolbook" w:hAnsi="Century Schoolbook"/>
          <w:i/>
        </w:rPr>
        <w:t xml:space="preserve">See </w:t>
      </w:r>
      <w:bookmarkStart w:id="28" w:name="dabmci_79529bede96547618d2677bacfc05567"/>
      <w:bookmarkStart w:id="29" w:name="dabmrv_79529bede96547618d2677bacfc05567"/>
      <w:r w:rsidR="0042387C" w:rsidRPr="0045295C">
        <w:rPr>
          <w:rFonts w:ascii="Century Schoolbook" w:hAnsi="Century Schoolbook"/>
          <w:i/>
        </w:rPr>
        <w:t>California</w:t>
      </w:r>
      <w:r w:rsidR="0042387C" w:rsidRPr="0045295C">
        <w:rPr>
          <w:rFonts w:ascii="Century Schoolbook" w:hAnsi="Century Schoolbook"/>
        </w:rPr>
        <w:t xml:space="preserve">, 141 S. Ct. </w:t>
      </w:r>
      <w:bookmarkEnd w:id="28"/>
      <w:r w:rsidR="0042387C" w:rsidRPr="0045295C">
        <w:rPr>
          <w:rFonts w:ascii="Century Schoolbook" w:hAnsi="Century Schoolbook"/>
        </w:rPr>
        <w:t>at 2114</w:t>
      </w:r>
      <w:bookmarkEnd w:id="29"/>
      <w:r w:rsidR="004D3E07">
        <w:rPr>
          <w:rFonts w:ascii="Century Schoolbook" w:hAnsi="Century Schoolbook"/>
        </w:rPr>
        <w:fldChar w:fldCharType="begin"/>
      </w:r>
      <w:r w:rsidR="004D3E07">
        <w:instrText xml:space="preserve"> TA \s "California v. Texas, 141 S. Ct. 2104, 2113 (2021)" </w:instrText>
      </w:r>
      <w:r w:rsidR="004D3E07">
        <w:rPr>
          <w:rFonts w:ascii="Century Schoolbook" w:hAnsi="Century Schoolbook"/>
        </w:rPr>
        <w:fldChar w:fldCharType="end"/>
      </w:r>
      <w:r w:rsidR="0042387C" w:rsidRPr="0045295C">
        <w:rPr>
          <w:rFonts w:ascii="Century Schoolbook" w:hAnsi="Century Schoolbook"/>
        </w:rPr>
        <w:t xml:space="preserve"> (</w:t>
      </w:r>
      <w:r w:rsidR="0042387C" w:rsidRPr="0045295C">
        <w:rPr>
          <w:rFonts w:ascii="Century Schoolbook" w:hAnsi="Century Schoolbook"/>
          <w:i/>
        </w:rPr>
        <w:t>quoting</w:t>
      </w:r>
      <w:r w:rsidR="0042387C" w:rsidRPr="0045295C">
        <w:rPr>
          <w:rFonts w:ascii="Century Schoolbook" w:hAnsi="Century Schoolbook"/>
        </w:rPr>
        <w:t xml:space="preserve"> </w:t>
      </w:r>
      <w:bookmarkStart w:id="30" w:name="dabmci_a5aec3a3afbe44c5a1a5eb64d6c08ce0"/>
      <w:r w:rsidR="0042387C" w:rsidRPr="0045295C">
        <w:rPr>
          <w:rFonts w:ascii="Century Schoolbook" w:hAnsi="Century Schoolbook"/>
          <w:i/>
        </w:rPr>
        <w:t>Babbitt v. United Farm Workers Nat. Union</w:t>
      </w:r>
      <w:r w:rsidR="0042387C" w:rsidRPr="0045295C">
        <w:rPr>
          <w:rFonts w:ascii="Century Schoolbook" w:hAnsi="Century Schoolbook"/>
        </w:rPr>
        <w:t>, 442 U.S. 289, 298 (1979)</w:t>
      </w:r>
      <w:bookmarkEnd w:id="30"/>
      <w:r w:rsidR="004D3E07">
        <w:rPr>
          <w:rFonts w:ascii="Century Schoolbook" w:hAnsi="Century Schoolbook"/>
        </w:rPr>
        <w:fldChar w:fldCharType="begin"/>
      </w:r>
      <w:r w:rsidR="004D3E07">
        <w:instrText xml:space="preserve"> TA \l "</w:instrText>
      </w:r>
      <w:r w:rsidR="004D3E07" w:rsidRPr="000F6A20">
        <w:rPr>
          <w:rFonts w:ascii="Century Schoolbook" w:hAnsi="Century Schoolbook"/>
          <w:i/>
        </w:rPr>
        <w:instrText>Babbitt v. United Farm Workers Nat. Union</w:instrText>
      </w:r>
      <w:r w:rsidR="004D3E07" w:rsidRPr="000F6A20">
        <w:rPr>
          <w:rFonts w:ascii="Century Schoolbook" w:hAnsi="Century Schoolbook"/>
        </w:rPr>
        <w:instrText xml:space="preserve">, </w:instrText>
      </w:r>
      <w:r w:rsidR="004D3E07" w:rsidRPr="000F6A20">
        <w:rPr>
          <w:rFonts w:ascii="Century Schoolbook" w:hAnsi="Century Schoolbook"/>
        </w:rPr>
        <w:br/>
        <w:instrText>442 U.S. 289 (1979)</w:instrText>
      </w:r>
      <w:r w:rsidR="004D3E07">
        <w:instrText xml:space="preserve">" \s "Babbitt v. United Farm Workers Nat. Union, 442 U.S. 289, 298 (1979)" \c 1 </w:instrText>
      </w:r>
      <w:r w:rsidR="004D3E07">
        <w:rPr>
          <w:rFonts w:ascii="Century Schoolbook" w:hAnsi="Century Schoolbook"/>
        </w:rPr>
        <w:fldChar w:fldCharType="end"/>
      </w:r>
      <w:r w:rsidR="0042387C" w:rsidRPr="0045295C">
        <w:rPr>
          <w:rFonts w:ascii="Century Schoolbook" w:hAnsi="Century Schoolbook"/>
        </w:rPr>
        <w:t xml:space="preserve">). </w:t>
      </w:r>
      <w:r w:rsidR="00A576A1" w:rsidRPr="0045295C">
        <w:rPr>
          <w:rFonts w:ascii="Century Schoolbook" w:hAnsi="Century Schoolbook"/>
        </w:rPr>
        <w:t xml:space="preserve">This standard </w:t>
      </w:r>
      <w:r w:rsidR="00A64829">
        <w:rPr>
          <w:rFonts w:ascii="Century Schoolbook" w:hAnsi="Century Schoolbook"/>
        </w:rPr>
        <w:t>is</w:t>
      </w:r>
      <w:r w:rsidR="00A576A1" w:rsidRPr="0045295C">
        <w:rPr>
          <w:rFonts w:ascii="Century Schoolbook" w:hAnsi="Century Schoolbook"/>
        </w:rPr>
        <w:t xml:space="preserve"> easily met here</w:t>
      </w:r>
      <w:r w:rsidR="0042387C" w:rsidRPr="0045295C">
        <w:rPr>
          <w:rFonts w:ascii="Century Schoolbook" w:hAnsi="Century Schoolbook"/>
        </w:rPr>
        <w:t xml:space="preserve">. </w:t>
      </w:r>
      <w:r w:rsidR="00A64829">
        <w:rPr>
          <w:rFonts w:ascii="Century Schoolbook" w:hAnsi="Century Schoolbook"/>
        </w:rPr>
        <w:t>If the State reduces its tax revenue, it faces a real risk of recoupment of the funds to which it is otherwise entitled to.</w:t>
      </w:r>
    </w:p>
    <w:p w:rsidR="00A576A1" w:rsidRPr="0045295C" w:rsidRDefault="00A64829" w:rsidP="005E0CBE">
      <w:pPr>
        <w:pStyle w:val="Body"/>
        <w:jc w:val="both"/>
        <w:rPr>
          <w:rFonts w:ascii="Century Schoolbook" w:hAnsi="Century Schoolbook"/>
          <w:i/>
        </w:rPr>
      </w:pPr>
      <w:r>
        <w:rPr>
          <w:rFonts w:ascii="Century Schoolbook" w:hAnsi="Century Schoolbook"/>
        </w:rPr>
        <w:t>The government’s counter</w:t>
      </w:r>
      <w:r w:rsidR="00481A07">
        <w:rPr>
          <w:rFonts w:ascii="Century Schoolbook" w:hAnsi="Century Schoolbook"/>
        </w:rPr>
        <w:t>-</w:t>
      </w:r>
      <w:r>
        <w:rPr>
          <w:rFonts w:ascii="Century Schoolbook" w:hAnsi="Century Schoolbook"/>
        </w:rPr>
        <w:t xml:space="preserve">argument relies on an </w:t>
      </w:r>
      <w:r w:rsidR="00856D6F" w:rsidRPr="0045295C">
        <w:rPr>
          <w:rFonts w:ascii="Century Schoolbook" w:hAnsi="Century Schoolbook"/>
        </w:rPr>
        <w:t xml:space="preserve">interpretation </w:t>
      </w:r>
      <w:r>
        <w:rPr>
          <w:rFonts w:ascii="Century Schoolbook" w:hAnsi="Century Schoolbook"/>
        </w:rPr>
        <w:t xml:space="preserve">of </w:t>
      </w:r>
      <w:r w:rsidR="00856D6F" w:rsidRPr="0045295C">
        <w:rPr>
          <w:rFonts w:ascii="Century Schoolbook" w:hAnsi="Century Schoolbook"/>
        </w:rPr>
        <w:t xml:space="preserve">the </w:t>
      </w:r>
      <w:r w:rsidR="00856D6F">
        <w:rPr>
          <w:rFonts w:ascii="Century Schoolbook" w:hAnsi="Century Schoolbook"/>
        </w:rPr>
        <w:t xml:space="preserve">Tax Mandate </w:t>
      </w:r>
      <w:r>
        <w:rPr>
          <w:rFonts w:ascii="Century Schoolbook" w:hAnsi="Century Schoolbook"/>
        </w:rPr>
        <w:t xml:space="preserve">which is squarely contradicted by the plain text of the statute. The government argues that, because Ohio cannot show that the tax cut will be “paid for” by ARPA funds, it is not injured. But this simply is not what the Tax Mandate or its implementing regulations state. Rather, the Tax Mandate states it is triggered by “indirect offset[s]” of ARPA funds. And </w:t>
      </w:r>
      <w:r w:rsidR="00A42D10" w:rsidRPr="0045295C">
        <w:rPr>
          <w:rFonts w:ascii="Century Schoolbook" w:hAnsi="Century Schoolbook"/>
        </w:rPr>
        <w:t xml:space="preserve">Treasury’s Interim Final Rule </w:t>
      </w:r>
      <w:r>
        <w:rPr>
          <w:rFonts w:ascii="Century Schoolbook" w:hAnsi="Century Schoolbook"/>
        </w:rPr>
        <w:t>puts that language into action</w:t>
      </w:r>
      <w:r w:rsidR="00A766E0" w:rsidRPr="0045295C">
        <w:rPr>
          <w:rFonts w:ascii="Century Schoolbook" w:hAnsi="Century Schoolbook"/>
        </w:rPr>
        <w:t>. In fact,</w:t>
      </w:r>
      <w:r w:rsidR="00A42D10" w:rsidRPr="0045295C">
        <w:rPr>
          <w:rFonts w:ascii="Century Schoolbook" w:hAnsi="Century Schoolbook"/>
        </w:rPr>
        <w:t xml:space="preserve"> under Treasury’s regulations, the Tax Mandate </w:t>
      </w:r>
      <w:r w:rsidR="00A766E0" w:rsidRPr="0045295C">
        <w:rPr>
          <w:rFonts w:ascii="Century Schoolbook" w:hAnsi="Century Schoolbook"/>
        </w:rPr>
        <w:t xml:space="preserve">explicitly </w:t>
      </w:r>
      <w:r w:rsidR="00A42D10" w:rsidRPr="0045295C">
        <w:rPr>
          <w:rFonts w:ascii="Century Schoolbook" w:hAnsi="Century Schoolbook"/>
        </w:rPr>
        <w:t xml:space="preserve">extends to inadvertent decreases in tax revenue and contemplates Treasury </w:t>
      </w:r>
      <w:r w:rsidR="00856D6F">
        <w:rPr>
          <w:rFonts w:ascii="Century Schoolbook" w:hAnsi="Century Schoolbook"/>
        </w:rPr>
        <w:t xml:space="preserve">will </w:t>
      </w:r>
      <w:r w:rsidR="00A42D10" w:rsidRPr="0045295C">
        <w:rPr>
          <w:rFonts w:ascii="Century Schoolbook" w:hAnsi="Century Schoolbook"/>
        </w:rPr>
        <w:t>effectively review past conduct for indirect offsets</w:t>
      </w:r>
      <w:r w:rsidR="00A766E0" w:rsidRPr="0045295C">
        <w:rPr>
          <w:rFonts w:ascii="Century Schoolbook" w:hAnsi="Century Schoolbook"/>
        </w:rPr>
        <w:t xml:space="preserve"> through 2024</w:t>
      </w:r>
      <w:r w:rsidR="00A42D10" w:rsidRPr="0045295C">
        <w:rPr>
          <w:rFonts w:ascii="Century Schoolbook" w:hAnsi="Century Schoolbook"/>
        </w:rPr>
        <w:t xml:space="preserve">. </w:t>
      </w:r>
      <w:r w:rsidR="00A42D10" w:rsidRPr="0045295C">
        <w:rPr>
          <w:rFonts w:ascii="Century Schoolbook" w:hAnsi="Century Schoolbook"/>
          <w:i/>
        </w:rPr>
        <w:t>See Coronavirus State and Local Fiscal Recovery Funds,</w:t>
      </w:r>
      <w:r w:rsidR="00A42D10" w:rsidRPr="0045295C">
        <w:rPr>
          <w:rFonts w:ascii="Century Schoolbook" w:hAnsi="Century Schoolbook"/>
        </w:rPr>
        <w:t xml:space="preserve"> 86 Fed. Reg. 26,786 (May 17, 2021), </w:t>
      </w:r>
      <w:hyperlink r:id="rId14" w:history="1">
        <w:r w:rsidR="00A42D10" w:rsidRPr="0045295C">
          <w:rPr>
            <w:rStyle w:val="Hyperlink"/>
            <w:rFonts w:ascii="Century Schoolbook" w:hAnsi="Century Schoolbook"/>
          </w:rPr>
          <w:t>https://www.federalregister.gov/d/2021-10283/p-398</w:t>
        </w:r>
      </w:hyperlink>
      <w:r w:rsidR="00445BDC" w:rsidRPr="0045295C">
        <w:rPr>
          <w:rFonts w:ascii="Century Schoolbook" w:hAnsi="Century Schoolbook"/>
        </w:rPr>
        <w:t xml:space="preserve"> (“IFR”</w:t>
      </w:r>
      <w:r w:rsidR="00E26581">
        <w:rPr>
          <w:rFonts w:ascii="Century Schoolbook" w:hAnsi="Century Schoolbook"/>
        </w:rPr>
        <w:t xml:space="preserve"> or “Rule”</w:t>
      </w:r>
      <w:r w:rsidR="00445BDC" w:rsidRPr="0045295C">
        <w:rPr>
          <w:rFonts w:ascii="Century Schoolbook" w:hAnsi="Century Schoolbook"/>
        </w:rPr>
        <w:t>)</w:t>
      </w:r>
      <w:r w:rsidR="00A42D10" w:rsidRPr="0045295C">
        <w:rPr>
          <w:rFonts w:ascii="Century Schoolbook" w:hAnsi="Century Schoolbook"/>
        </w:rPr>
        <w:t>.</w:t>
      </w:r>
      <w:r w:rsidR="006D4B62">
        <w:rPr>
          <w:rFonts w:ascii="Century Schoolbook" w:hAnsi="Century Schoolbook"/>
        </w:rPr>
        <w:fldChar w:fldCharType="begin"/>
      </w:r>
      <w:r w:rsidR="006D4B62">
        <w:instrText xml:space="preserve"> TA \l "</w:instrText>
      </w:r>
      <w:r w:rsidR="006D4B62" w:rsidRPr="00254A74">
        <w:rPr>
          <w:rFonts w:ascii="Century Schoolbook" w:hAnsi="Century Schoolbook"/>
          <w:i/>
        </w:rPr>
        <w:instrText>Coronavirus State and Local Fiscal Recovery Funds,</w:instrText>
      </w:r>
      <w:r w:rsidR="006D4B62" w:rsidRPr="00254A74">
        <w:rPr>
          <w:rFonts w:ascii="Century Schoolbook" w:hAnsi="Century Schoolbook"/>
        </w:rPr>
        <w:instrText xml:space="preserve"> </w:instrText>
      </w:r>
      <w:r w:rsidR="006D4B62" w:rsidRPr="00254A74">
        <w:rPr>
          <w:rFonts w:ascii="Century Schoolbook" w:hAnsi="Century Schoolbook"/>
        </w:rPr>
        <w:br/>
        <w:instrText>86 Fed. Reg. 26,786 (May 17, 2021), https://www.federalregister.gov/d/2021-10283/p-398</w:instrText>
      </w:r>
      <w:r w:rsidR="006D4B62">
        <w:instrText xml:space="preserve">" \s "Coronavirus State and Local Fiscal Recovery Funds, 86 Fed. Reg. 26,786 (May 17, 2021), https://www.federalregister.gov/d/2021-10283/p-398 (\"IFR\" or \"Rule\")." \c 3 </w:instrText>
      </w:r>
      <w:r w:rsidR="006D4B62">
        <w:rPr>
          <w:rFonts w:ascii="Century Schoolbook" w:hAnsi="Century Schoolbook"/>
        </w:rPr>
        <w:fldChar w:fldCharType="end"/>
      </w:r>
    </w:p>
    <w:p w:rsidR="0042387C" w:rsidRPr="0045295C" w:rsidRDefault="00F52872" w:rsidP="005E0CBE">
      <w:pPr>
        <w:pStyle w:val="Body"/>
        <w:jc w:val="both"/>
        <w:rPr>
          <w:rFonts w:ascii="Century Schoolbook" w:hAnsi="Century Schoolbook"/>
        </w:rPr>
      </w:pPr>
      <w:r w:rsidRPr="0045295C">
        <w:rPr>
          <w:rFonts w:ascii="Century Schoolbook" w:hAnsi="Century Schoolbook"/>
        </w:rPr>
        <w:t xml:space="preserve">Under that Interim Final Rule, </w:t>
      </w:r>
      <w:r w:rsidR="00A64829">
        <w:rPr>
          <w:rFonts w:ascii="Century Schoolbook" w:hAnsi="Century Schoolbook"/>
        </w:rPr>
        <w:t>Ohio</w:t>
      </w:r>
      <w:r w:rsidR="00A766E0" w:rsidRPr="0045295C">
        <w:rPr>
          <w:rFonts w:ascii="Century Schoolbook" w:hAnsi="Century Schoolbook"/>
        </w:rPr>
        <w:t xml:space="preserve"> has </w:t>
      </w:r>
      <w:r w:rsidR="00E26581">
        <w:rPr>
          <w:rFonts w:ascii="Century Schoolbook" w:hAnsi="Century Schoolbook"/>
        </w:rPr>
        <w:t>ample</w:t>
      </w:r>
      <w:r w:rsidR="00A766E0" w:rsidRPr="0045295C">
        <w:rPr>
          <w:rFonts w:ascii="Century Schoolbook" w:hAnsi="Century Schoolbook"/>
        </w:rPr>
        <w:t xml:space="preserve"> reason to fear that its tax policy could be undermined by the Tax Mandate. </w:t>
      </w:r>
      <w:r w:rsidR="00A64829">
        <w:rPr>
          <w:rFonts w:ascii="Century Schoolbook" w:hAnsi="Century Schoolbook"/>
        </w:rPr>
        <w:t>T</w:t>
      </w:r>
      <w:r w:rsidRPr="0045295C">
        <w:rPr>
          <w:rFonts w:ascii="Century Schoolbook" w:hAnsi="Century Schoolbook"/>
        </w:rPr>
        <w:t xml:space="preserve">he Rule </w:t>
      </w:r>
      <w:r w:rsidR="00E26581">
        <w:rPr>
          <w:rFonts w:ascii="Century Schoolbook" w:hAnsi="Century Schoolbook"/>
        </w:rPr>
        <w:t>sweeps quite</w:t>
      </w:r>
      <w:r w:rsidRPr="0045295C">
        <w:rPr>
          <w:rFonts w:ascii="Century Schoolbook" w:hAnsi="Century Schoolbook"/>
        </w:rPr>
        <w:t xml:space="preserve"> broadly and captures a wide variety of tax changes. Furthermore, </w:t>
      </w:r>
      <w:r w:rsidR="00A64829">
        <w:rPr>
          <w:rFonts w:ascii="Century Schoolbook" w:hAnsi="Century Schoolbook"/>
        </w:rPr>
        <w:t xml:space="preserve">as Ohio argues, </w:t>
      </w:r>
      <w:r w:rsidR="00E26581">
        <w:rPr>
          <w:rFonts w:ascii="Century Schoolbook" w:hAnsi="Century Schoolbook"/>
        </w:rPr>
        <w:t>t</w:t>
      </w:r>
      <w:r w:rsidR="0042387C" w:rsidRPr="0045295C">
        <w:rPr>
          <w:rFonts w:ascii="Century Schoolbook" w:hAnsi="Century Schoolbook"/>
        </w:rPr>
        <w:t>he Tax Mandate is impossible to understand to the point of being unconstitutionally ambiguous. Nor have Defendants disavowed bringing recoupment actions against State</w:t>
      </w:r>
      <w:r w:rsidR="00A42D10" w:rsidRPr="0045295C">
        <w:rPr>
          <w:rFonts w:ascii="Century Schoolbook" w:hAnsi="Century Schoolbook"/>
        </w:rPr>
        <w:t>s</w:t>
      </w:r>
      <w:r w:rsidR="0042387C" w:rsidRPr="0045295C">
        <w:rPr>
          <w:rFonts w:ascii="Century Schoolbook" w:hAnsi="Century Schoolbook"/>
        </w:rPr>
        <w:t xml:space="preserve">. This is just like </w:t>
      </w:r>
      <w:r w:rsidR="0042387C" w:rsidRPr="0045295C">
        <w:rPr>
          <w:rFonts w:ascii="Century Schoolbook" w:hAnsi="Century Schoolbook"/>
          <w:i/>
        </w:rPr>
        <w:t>Babbitt</w:t>
      </w:r>
      <w:r w:rsidR="0042387C" w:rsidRPr="0045295C">
        <w:rPr>
          <w:rFonts w:ascii="Century Schoolbook" w:hAnsi="Century Schoolbook"/>
        </w:rPr>
        <w:t xml:space="preserve">: there, the statute also had never been applied, and the State had not disavowed the intent to invoke the statute. </w:t>
      </w:r>
      <w:bookmarkStart w:id="31" w:name="dabmrv_9c1cc748406f484e88853a5b182c62fc"/>
      <w:bookmarkStart w:id="32" w:name="dabmci_9c1cc748406f484e88853a5b182c62fc"/>
      <w:r w:rsidR="0042387C" w:rsidRPr="0045295C">
        <w:rPr>
          <w:rFonts w:ascii="Century Schoolbook" w:hAnsi="Century Schoolbook"/>
          <w:i/>
        </w:rPr>
        <w:t>Babbitt</w:t>
      </w:r>
      <w:r w:rsidR="0042387C" w:rsidRPr="0045295C">
        <w:rPr>
          <w:rFonts w:ascii="Century Schoolbook" w:hAnsi="Century Schoolbook"/>
        </w:rPr>
        <w:t>, 442 U.S. at 302</w:t>
      </w:r>
      <w:bookmarkEnd w:id="31"/>
      <w:bookmarkEnd w:id="32"/>
      <w:r w:rsidR="004D3E07">
        <w:rPr>
          <w:rFonts w:ascii="Century Schoolbook" w:hAnsi="Century Schoolbook"/>
        </w:rPr>
        <w:fldChar w:fldCharType="begin"/>
      </w:r>
      <w:r w:rsidR="004D3E07">
        <w:instrText xml:space="preserve"> TA \s "Babbitt v. United Farm Workers Nat. Union, 442 U.S. 289, 298 (1979)" </w:instrText>
      </w:r>
      <w:r w:rsidR="004D3E07">
        <w:rPr>
          <w:rFonts w:ascii="Century Schoolbook" w:hAnsi="Century Schoolbook"/>
        </w:rPr>
        <w:fldChar w:fldCharType="end"/>
      </w:r>
      <w:r w:rsidR="0042387C" w:rsidRPr="0045295C">
        <w:rPr>
          <w:rFonts w:ascii="Century Schoolbook" w:hAnsi="Century Schoolbook"/>
        </w:rPr>
        <w:t xml:space="preserve">. As the Court explained, standing existed there because “Appellees [we]re thus not without some reason in fearing prosecution.” </w:t>
      </w:r>
      <w:bookmarkStart w:id="33" w:name="dabmrv_a43448aef0444bd4a660f8d85ba62c96"/>
      <w:bookmarkStart w:id="34" w:name="dabmci_a43448aef0444bd4a660f8d85ba62c96"/>
      <w:r w:rsidR="0042387C" w:rsidRPr="0045295C">
        <w:rPr>
          <w:rFonts w:ascii="Century Schoolbook" w:hAnsi="Century Schoolbook"/>
          <w:i/>
        </w:rPr>
        <w:t>Id</w:t>
      </w:r>
      <w:r w:rsidR="004D3E07">
        <w:rPr>
          <w:rFonts w:ascii="Century Schoolbook" w:hAnsi="Century Schoolbook"/>
          <w:i/>
        </w:rPr>
        <w:fldChar w:fldCharType="begin"/>
      </w:r>
      <w:r w:rsidR="004D3E07">
        <w:instrText xml:space="preserve"> TA \s "Babbitt v. United Farm Workers Nat. Union, 442 U.S. 289, 298 (1979)" </w:instrText>
      </w:r>
      <w:r w:rsidR="004D3E07">
        <w:rPr>
          <w:rFonts w:ascii="Century Schoolbook" w:hAnsi="Century Schoolbook"/>
          <w:i/>
        </w:rPr>
        <w:fldChar w:fldCharType="end"/>
      </w:r>
      <w:r w:rsidR="0042387C" w:rsidRPr="0045295C">
        <w:rPr>
          <w:rFonts w:ascii="Century Schoolbook" w:hAnsi="Century Schoolbook"/>
          <w:i/>
        </w:rPr>
        <w:t>.</w:t>
      </w:r>
      <w:bookmarkEnd w:id="33"/>
      <w:bookmarkEnd w:id="34"/>
      <w:r w:rsidR="0042387C" w:rsidRPr="0045295C">
        <w:rPr>
          <w:rFonts w:ascii="Century Schoolbook" w:hAnsi="Century Schoolbook"/>
          <w:i/>
        </w:rPr>
        <w:t xml:space="preserve"> </w:t>
      </w:r>
      <w:r w:rsidR="0042387C" w:rsidRPr="0045295C">
        <w:rPr>
          <w:rFonts w:ascii="Century Schoolbook" w:hAnsi="Century Schoolbook"/>
        </w:rPr>
        <w:t>So too here.</w:t>
      </w:r>
    </w:p>
    <w:p w:rsidR="00445BDC" w:rsidRPr="0045295C" w:rsidRDefault="00445BDC" w:rsidP="005E0CBE">
      <w:pPr>
        <w:pStyle w:val="Heading1"/>
        <w:jc w:val="both"/>
        <w:rPr>
          <w:rFonts w:ascii="Century Schoolbook" w:hAnsi="Century Schoolbook"/>
        </w:rPr>
      </w:pPr>
      <w:bookmarkStart w:id="35" w:name="_Toc77693851"/>
      <w:r w:rsidRPr="0045295C">
        <w:rPr>
          <w:rFonts w:ascii="Century Schoolbook" w:hAnsi="Century Schoolbook"/>
        </w:rPr>
        <w:t>The Tax Mandate Imposes Significant Compliance Costs On The States</w:t>
      </w:r>
      <w:bookmarkEnd w:id="35"/>
    </w:p>
    <w:p w:rsidR="00331155" w:rsidRDefault="00445BDC" w:rsidP="00331155">
      <w:pPr>
        <w:pStyle w:val="Body"/>
        <w:jc w:val="both"/>
        <w:rPr>
          <w:rFonts w:ascii="Century Schoolbook" w:hAnsi="Century Schoolbook"/>
        </w:rPr>
      </w:pPr>
      <w:r w:rsidRPr="0045295C">
        <w:rPr>
          <w:rFonts w:ascii="Century Schoolbook" w:hAnsi="Century Schoolbook"/>
        </w:rPr>
        <w:t xml:space="preserve">Apart from the threat of enforcement and the damage to </w:t>
      </w:r>
      <w:r w:rsidR="00A64829">
        <w:rPr>
          <w:rFonts w:ascii="Century Schoolbook" w:hAnsi="Century Schoolbook"/>
        </w:rPr>
        <w:t>Ohio’s</w:t>
      </w:r>
      <w:r w:rsidRPr="0045295C">
        <w:rPr>
          <w:rFonts w:ascii="Century Schoolbook" w:hAnsi="Century Schoolbook"/>
        </w:rPr>
        <w:t xml:space="preserve"> sovereignty, </w:t>
      </w:r>
      <w:r w:rsidR="00A64829">
        <w:rPr>
          <w:rFonts w:ascii="Century Schoolbook" w:hAnsi="Century Schoolbook"/>
        </w:rPr>
        <w:t>Ohio</w:t>
      </w:r>
      <w:r w:rsidRPr="0045295C">
        <w:rPr>
          <w:rFonts w:ascii="Century Schoolbook" w:hAnsi="Century Schoolbook"/>
        </w:rPr>
        <w:t xml:space="preserve"> has standing to challenge the Tax Mandate because it directly imposes compliance costs on the State. </w:t>
      </w:r>
      <w:r w:rsidR="00331155">
        <w:rPr>
          <w:rFonts w:ascii="Century Schoolbook" w:hAnsi="Century Schoolbook"/>
        </w:rPr>
        <w:t>The IFR implementing the Tax Mandate requires States to report actual net tax revenue, the value of changes in tax policy, and spending cuts with documentation showing that the cuts can cover a tax revenue decrease under the rule. 86 Fed. Reg. at 26,810</w:t>
      </w:r>
      <w:r w:rsidR="00331155">
        <w:rPr>
          <w:rFonts w:ascii="Century Schoolbook" w:hAnsi="Century Schoolbook"/>
        </w:rPr>
        <w:fldChar w:fldCharType="begin"/>
      </w:r>
      <w:r w:rsidR="00331155">
        <w:instrText xml:space="preserve"> TA \s "86 Fed. Reg. 26,786 (May 17, 2021)" </w:instrText>
      </w:r>
      <w:r w:rsidR="00331155">
        <w:rPr>
          <w:rFonts w:ascii="Century Schoolbook" w:hAnsi="Century Schoolbook"/>
        </w:rPr>
        <w:fldChar w:fldCharType="end"/>
      </w:r>
      <w:r w:rsidR="00331155">
        <w:rPr>
          <w:rFonts w:ascii="Century Schoolbook" w:hAnsi="Century Schoolbook"/>
        </w:rPr>
        <w:t>. T</w:t>
      </w:r>
      <w:r w:rsidR="00331155" w:rsidRPr="00F56EF8">
        <w:rPr>
          <w:rFonts w:ascii="Century Schoolbook" w:hAnsi="Century Schoolbook"/>
        </w:rPr>
        <w:t xml:space="preserve">he </w:t>
      </w:r>
      <w:r w:rsidR="00331155">
        <w:rPr>
          <w:rFonts w:ascii="Century Schoolbook" w:hAnsi="Century Schoolbook"/>
        </w:rPr>
        <w:t xml:space="preserve">IFR also explicitly requires </w:t>
      </w:r>
      <w:r w:rsidR="00331155" w:rsidRPr="00F56EF8">
        <w:rPr>
          <w:rFonts w:ascii="Century Schoolbook" w:hAnsi="Century Schoolbook"/>
        </w:rPr>
        <w:t xml:space="preserve">the States to break out and “identify any sources of funds that have been used to permissibly offset” tax changes. </w:t>
      </w:r>
      <w:r w:rsidR="00331155">
        <w:rPr>
          <w:rFonts w:ascii="Century Schoolbook" w:hAnsi="Century Schoolbook"/>
          <w:i/>
        </w:rPr>
        <w:t>Id.</w:t>
      </w:r>
      <w:r w:rsidR="00331155">
        <w:rPr>
          <w:rFonts w:ascii="Century Schoolbook" w:hAnsi="Century Schoolbook"/>
          <w:i/>
          <w:iCs w:val="0"/>
        </w:rPr>
        <w:fldChar w:fldCharType="begin"/>
      </w:r>
      <w:r w:rsidR="00331155">
        <w:instrText xml:space="preserve"> TA \s "86 Fed. Reg. 26,786 (May 17, 2021)" </w:instrText>
      </w:r>
      <w:r w:rsidR="00331155">
        <w:rPr>
          <w:rFonts w:ascii="Century Schoolbook" w:hAnsi="Century Schoolbook"/>
          <w:i/>
          <w:iCs w:val="0"/>
        </w:rPr>
        <w:fldChar w:fldCharType="end"/>
      </w:r>
      <w:r w:rsidR="00331155" w:rsidRPr="003A15DB">
        <w:rPr>
          <w:rFonts w:ascii="Century Schoolbook" w:hAnsi="Century Schoolbook"/>
        </w:rPr>
        <w:t xml:space="preserve"> at 26</w:t>
      </w:r>
      <w:r w:rsidR="00331155">
        <w:rPr>
          <w:rFonts w:ascii="Century Schoolbook" w:hAnsi="Century Schoolbook"/>
        </w:rPr>
        <w:t>,</w:t>
      </w:r>
      <w:r w:rsidR="00331155" w:rsidRPr="003A15DB">
        <w:rPr>
          <w:rFonts w:ascii="Century Schoolbook" w:hAnsi="Century Schoolbook"/>
        </w:rPr>
        <w:t>807</w:t>
      </w:r>
      <w:r w:rsidR="00331155">
        <w:rPr>
          <w:rFonts w:ascii="Century Schoolbook" w:hAnsi="Century Schoolbook"/>
          <w:i/>
        </w:rPr>
        <w:t xml:space="preserve">, </w:t>
      </w:r>
      <w:r w:rsidR="00331155">
        <w:rPr>
          <w:rFonts w:ascii="Century Schoolbook" w:hAnsi="Century Schoolbook"/>
        </w:rPr>
        <w:t>26,809</w:t>
      </w:r>
      <w:r w:rsidR="00331155">
        <w:rPr>
          <w:rFonts w:ascii="Century Schoolbook" w:hAnsi="Century Schoolbook"/>
          <w:i/>
        </w:rPr>
        <w:t xml:space="preserve"> </w:t>
      </w:r>
      <w:r w:rsidR="00331155" w:rsidRPr="00F56EF8">
        <w:rPr>
          <w:rFonts w:ascii="Century Schoolbook" w:hAnsi="Century Schoolbook"/>
        </w:rPr>
        <w:t>(requiring the States to “identify and calculate the total value of changes that could pay for revenue reduction due to covered changes and sum these items” and describing the procedures for doing so).</w:t>
      </w:r>
      <w:r w:rsidR="00331155">
        <w:rPr>
          <w:rFonts w:ascii="Century Schoolbook" w:hAnsi="Century Schoolbook"/>
        </w:rPr>
        <w:t xml:space="preserve"> </w:t>
      </w:r>
      <w:r w:rsidR="00331155" w:rsidRPr="0045295C">
        <w:rPr>
          <w:rFonts w:ascii="Century Schoolbook" w:hAnsi="Century Schoolbook"/>
        </w:rPr>
        <w:t>The breadth of the information demanded by Treasury’s Rule is necessary because the Tax Mandate has such a broad and shifting meaning.</w:t>
      </w:r>
      <w:r w:rsidR="00331155">
        <w:rPr>
          <w:rFonts w:ascii="Century Schoolbook" w:hAnsi="Century Schoolbook"/>
        </w:rPr>
        <w:t xml:space="preserve"> These costs are traceable to the unconstitutional provision, as without the Tax Mandate, none of this information would be necessary to collect—no other provision requires tracking of spending offsets, or the value of changes in tax policy. </w:t>
      </w:r>
    </w:p>
    <w:p w:rsidR="00331155" w:rsidRDefault="00331155" w:rsidP="00331155">
      <w:pPr>
        <w:pStyle w:val="BodyText"/>
        <w:spacing w:after="0" w:line="480" w:lineRule="auto"/>
        <w:jc w:val="both"/>
        <w:rPr>
          <w:rFonts w:ascii="Century Schoolbook" w:hAnsi="Century Schoolbook"/>
          <w:szCs w:val="28"/>
        </w:rPr>
      </w:pPr>
      <w:r>
        <w:rPr>
          <w:rFonts w:ascii="Century Schoolbook" w:hAnsi="Century Schoolbook"/>
          <w:szCs w:val="28"/>
        </w:rPr>
        <w:t>These mandates plainly impose some burden on the State. Indeed, the Treasury Department has expressly stated in its own rule that the reporting requirements “</w:t>
      </w:r>
      <w:r w:rsidRPr="00701F44">
        <w:rPr>
          <w:rFonts w:ascii="Century Schoolbook" w:hAnsi="Century Schoolbook"/>
          <w:szCs w:val="28"/>
        </w:rPr>
        <w:t>will generate administrative costs</w:t>
      </w:r>
      <w:r>
        <w:rPr>
          <w:rFonts w:ascii="Century Schoolbook" w:hAnsi="Century Schoolbook"/>
          <w:szCs w:val="28"/>
        </w:rPr>
        <w:t xml:space="preserve"> … </w:t>
      </w:r>
      <w:proofErr w:type="spellStart"/>
      <w:r>
        <w:rPr>
          <w:rFonts w:ascii="Century Schoolbook" w:hAnsi="Century Schoolbook"/>
          <w:szCs w:val="28"/>
        </w:rPr>
        <w:t>includ</w:t>
      </w:r>
      <w:proofErr w:type="spellEnd"/>
      <w:r>
        <w:rPr>
          <w:rFonts w:ascii="Century Schoolbook" w:hAnsi="Century Schoolbook"/>
          <w:szCs w:val="28"/>
        </w:rPr>
        <w:t>[</w:t>
      </w:r>
      <w:proofErr w:type="spellStart"/>
      <w:r>
        <w:rPr>
          <w:rFonts w:ascii="Century Schoolbook" w:hAnsi="Century Schoolbook"/>
          <w:szCs w:val="28"/>
        </w:rPr>
        <w:t>ing</w:t>
      </w:r>
      <w:proofErr w:type="spellEnd"/>
      <w:r>
        <w:rPr>
          <w:rFonts w:ascii="Century Schoolbook" w:hAnsi="Century Schoolbook"/>
          <w:szCs w:val="28"/>
        </w:rPr>
        <w:t>]</w:t>
      </w:r>
      <w:r w:rsidRPr="00701F44">
        <w:rPr>
          <w:rFonts w:ascii="Century Schoolbook" w:hAnsi="Century Schoolbook"/>
          <w:szCs w:val="28"/>
        </w:rPr>
        <w:t xml:space="preserve">, chiefly, costs required to </w:t>
      </w:r>
      <w:r>
        <w:rPr>
          <w:rFonts w:ascii="Century Schoolbook" w:hAnsi="Century Schoolbook"/>
          <w:szCs w:val="28"/>
        </w:rPr>
        <w:t xml:space="preserve">… </w:t>
      </w:r>
      <w:r w:rsidRPr="00701F44">
        <w:rPr>
          <w:rFonts w:ascii="Century Schoolbook" w:hAnsi="Century Schoolbook"/>
          <w:szCs w:val="28"/>
        </w:rPr>
        <w:t>file periodic reports with Treasury</w:t>
      </w:r>
      <w:r>
        <w:rPr>
          <w:rFonts w:ascii="Century Schoolbook" w:hAnsi="Century Schoolbook"/>
          <w:szCs w:val="28"/>
        </w:rPr>
        <w:t>.” 86 Fed. Reg.</w:t>
      </w:r>
      <w:r>
        <w:rPr>
          <w:rFonts w:ascii="Century Schoolbook" w:hAnsi="Century Schoolbook"/>
          <w:i/>
          <w:iCs/>
          <w:szCs w:val="28"/>
        </w:rPr>
        <w:t xml:space="preserve"> </w:t>
      </w:r>
      <w:r>
        <w:rPr>
          <w:rFonts w:ascii="Century Schoolbook" w:hAnsi="Century Schoolbook"/>
          <w:szCs w:val="28"/>
        </w:rPr>
        <w:t>at 26,817</w:t>
      </w:r>
      <w:r>
        <w:rPr>
          <w:rFonts w:ascii="Century Schoolbook" w:hAnsi="Century Schoolbook"/>
          <w:szCs w:val="28"/>
        </w:rPr>
        <w:fldChar w:fldCharType="begin"/>
      </w:r>
      <w:r>
        <w:instrText xml:space="preserve"> TA \s "86 Fed. Reg. 26,786 (May 17, 2021)" </w:instrText>
      </w:r>
      <w:r>
        <w:rPr>
          <w:rFonts w:ascii="Century Schoolbook" w:hAnsi="Century Schoolbook"/>
          <w:szCs w:val="28"/>
        </w:rPr>
        <w:fldChar w:fldCharType="end"/>
      </w:r>
      <w:r>
        <w:rPr>
          <w:rFonts w:ascii="Century Schoolbook" w:hAnsi="Century Schoolbook"/>
          <w:szCs w:val="28"/>
        </w:rPr>
        <w:t>. Indeed, it went so far as to “</w:t>
      </w:r>
      <w:r w:rsidRPr="0072486C">
        <w:rPr>
          <w:rFonts w:ascii="Century Schoolbook" w:hAnsi="Century Schoolbook"/>
          <w:szCs w:val="28"/>
        </w:rPr>
        <w:t>comment</w:t>
      </w:r>
      <w:r>
        <w:rPr>
          <w:rFonts w:ascii="Century Schoolbook" w:hAnsi="Century Schoolbook"/>
          <w:szCs w:val="28"/>
        </w:rPr>
        <w:t>[s]</w:t>
      </w:r>
      <w:r w:rsidRPr="0072486C">
        <w:rPr>
          <w:rFonts w:ascii="Century Schoolbook" w:hAnsi="Century Schoolbook"/>
          <w:szCs w:val="28"/>
        </w:rPr>
        <w:t xml:space="preserve"> to better estimate and account for these costs, as well as on ways to lessen administrative burdens</w:t>
      </w:r>
      <w:r>
        <w:rPr>
          <w:rFonts w:ascii="Century Schoolbook" w:hAnsi="Century Schoolbook"/>
          <w:szCs w:val="28"/>
        </w:rPr>
        <w:t xml:space="preserve">.” </w:t>
      </w:r>
      <w:r>
        <w:rPr>
          <w:rFonts w:ascii="Century Schoolbook" w:hAnsi="Century Schoolbook"/>
          <w:i/>
          <w:iCs/>
          <w:szCs w:val="28"/>
        </w:rPr>
        <w:t>Id</w:t>
      </w:r>
      <w:r>
        <w:rPr>
          <w:rFonts w:ascii="Century Schoolbook" w:hAnsi="Century Schoolbook"/>
          <w:i/>
          <w:iCs/>
          <w:szCs w:val="28"/>
        </w:rPr>
        <w:fldChar w:fldCharType="begin"/>
      </w:r>
      <w:r>
        <w:instrText xml:space="preserve"> TA \s "86 Fed. Reg. 26,786 (May 17, 2021)" </w:instrText>
      </w:r>
      <w:r>
        <w:rPr>
          <w:rFonts w:ascii="Century Schoolbook" w:hAnsi="Century Schoolbook"/>
          <w:i/>
          <w:iCs/>
          <w:szCs w:val="28"/>
        </w:rPr>
        <w:fldChar w:fldCharType="end"/>
      </w:r>
      <w:r>
        <w:rPr>
          <w:rFonts w:ascii="Century Schoolbook" w:hAnsi="Century Schoolbook"/>
          <w:i/>
          <w:iCs/>
          <w:szCs w:val="28"/>
        </w:rPr>
        <w:t>.</w:t>
      </w:r>
      <w:r>
        <w:rPr>
          <w:rFonts w:ascii="Century Schoolbook" w:hAnsi="Century Schoolbook"/>
          <w:szCs w:val="28"/>
        </w:rPr>
        <w:t xml:space="preserve"> Put simply, the Treasury Department </w:t>
      </w:r>
      <w:r w:rsidR="00481A07">
        <w:rPr>
          <w:rFonts w:ascii="Century Schoolbook" w:hAnsi="Century Schoolbook"/>
          <w:szCs w:val="28"/>
        </w:rPr>
        <w:t>never</w:t>
      </w:r>
      <w:r>
        <w:rPr>
          <w:rFonts w:ascii="Century Schoolbook" w:hAnsi="Century Schoolbook"/>
          <w:szCs w:val="28"/>
        </w:rPr>
        <w:t xml:space="preserve"> doubted that the Tax Mandate </w:t>
      </w:r>
      <w:r w:rsidR="00481A07">
        <w:rPr>
          <w:rFonts w:ascii="Century Schoolbook" w:hAnsi="Century Schoolbook"/>
          <w:szCs w:val="28"/>
        </w:rPr>
        <w:t xml:space="preserve">would </w:t>
      </w:r>
      <w:r>
        <w:rPr>
          <w:rFonts w:ascii="Century Schoolbook" w:hAnsi="Century Schoolbook"/>
          <w:szCs w:val="28"/>
        </w:rPr>
        <w:t>impose compliance costs through the IF</w:t>
      </w:r>
      <w:r w:rsidR="00481A07">
        <w:rPr>
          <w:rFonts w:ascii="Century Schoolbook" w:hAnsi="Century Schoolbook"/>
          <w:szCs w:val="28"/>
        </w:rPr>
        <w:t>R, and indeed acknowledged as much.</w:t>
      </w:r>
    </w:p>
    <w:p w:rsidR="00331155" w:rsidRDefault="00331155" w:rsidP="00331155">
      <w:pPr>
        <w:pStyle w:val="BodyText"/>
        <w:spacing w:after="0" w:line="480" w:lineRule="auto"/>
        <w:jc w:val="both"/>
        <w:rPr>
          <w:rFonts w:ascii="Century Schoolbook" w:hAnsi="Century Schoolbook"/>
          <w:szCs w:val="28"/>
        </w:rPr>
      </w:pPr>
      <w:r>
        <w:rPr>
          <w:rFonts w:ascii="Century Schoolbook" w:hAnsi="Century Schoolbook"/>
          <w:szCs w:val="28"/>
        </w:rPr>
        <w:t xml:space="preserve">These costs are the monitoring regime put in place to ensure the State complies with the unconstitutional provision. </w:t>
      </w:r>
      <w:r>
        <w:rPr>
          <w:rFonts w:ascii="Century Schoolbook" w:hAnsi="Century Schoolbook"/>
          <w:i/>
          <w:iCs/>
          <w:szCs w:val="28"/>
        </w:rPr>
        <w:t xml:space="preserve">Compare with </w:t>
      </w:r>
      <w:r w:rsidRPr="00F56EF8">
        <w:rPr>
          <w:rFonts w:ascii="Century Schoolbook" w:hAnsi="Century Schoolbook"/>
          <w:i/>
          <w:iCs/>
          <w:szCs w:val="28"/>
        </w:rPr>
        <w:t>California v. Texas</w:t>
      </w:r>
      <w:r w:rsidRPr="00F56EF8">
        <w:rPr>
          <w:rFonts w:ascii="Century Schoolbook" w:hAnsi="Century Schoolbook"/>
          <w:szCs w:val="28"/>
        </w:rPr>
        <w:t>, 141 S. Ct. 2104, 2119</w:t>
      </w:r>
      <w:r>
        <w:rPr>
          <w:rFonts w:ascii="Century Schoolbook" w:hAnsi="Century Schoolbook"/>
          <w:szCs w:val="28"/>
        </w:rPr>
        <w:t>-</w:t>
      </w:r>
      <w:r w:rsidRPr="00F56EF8">
        <w:rPr>
          <w:rFonts w:ascii="Century Schoolbook" w:hAnsi="Century Schoolbook"/>
          <w:szCs w:val="28"/>
        </w:rPr>
        <w:t>20 (2021)</w:t>
      </w:r>
      <w:r>
        <w:rPr>
          <w:rFonts w:ascii="Century Schoolbook" w:hAnsi="Century Schoolbook"/>
          <w:szCs w:val="28"/>
        </w:rPr>
        <w:fldChar w:fldCharType="begin"/>
      </w:r>
      <w:r>
        <w:instrText xml:space="preserve"> TA \l "</w:instrText>
      </w:r>
      <w:r w:rsidRPr="00CF2A3E">
        <w:rPr>
          <w:rFonts w:ascii="Century Schoolbook" w:hAnsi="Century Schoolbook"/>
          <w:i/>
          <w:iCs/>
          <w:szCs w:val="28"/>
        </w:rPr>
        <w:instrText>California v. Texas</w:instrText>
      </w:r>
      <w:r w:rsidRPr="00CF2A3E">
        <w:rPr>
          <w:rFonts w:ascii="Century Schoolbook" w:hAnsi="Century Schoolbook"/>
          <w:szCs w:val="28"/>
        </w:rPr>
        <w:instrText xml:space="preserve">, </w:instrText>
      </w:r>
      <w:r w:rsidRPr="00CF2A3E">
        <w:rPr>
          <w:rFonts w:ascii="Century Schoolbook" w:hAnsi="Century Schoolbook"/>
          <w:szCs w:val="28"/>
        </w:rPr>
        <w:br/>
        <w:instrText>141 S. Ct. 2104 (2021)</w:instrText>
      </w:r>
      <w:r>
        <w:instrText xml:space="preserve">" \s "California v. Texas, 141 S. Ct. 2104, 2119-20 (2021)" \c 1 </w:instrText>
      </w:r>
      <w:r>
        <w:rPr>
          <w:rFonts w:ascii="Century Schoolbook" w:hAnsi="Century Schoolbook"/>
          <w:szCs w:val="28"/>
        </w:rPr>
        <w:fldChar w:fldCharType="end"/>
      </w:r>
      <w:r>
        <w:rPr>
          <w:rFonts w:ascii="Century Schoolbook" w:hAnsi="Century Schoolbook"/>
          <w:szCs w:val="28"/>
        </w:rPr>
        <w:t xml:space="preserve"> (“[T]</w:t>
      </w:r>
      <w:r w:rsidRPr="00F56EF8">
        <w:rPr>
          <w:rFonts w:ascii="Century Schoolbook" w:hAnsi="Century Schoolbook"/>
          <w:szCs w:val="28"/>
        </w:rPr>
        <w:t>he problem for the state plaintiffs is that these other provisions also operate independently</w:t>
      </w:r>
      <w:r>
        <w:rPr>
          <w:rFonts w:ascii="Century Schoolbook" w:hAnsi="Century Schoolbook"/>
          <w:szCs w:val="28"/>
        </w:rPr>
        <w:t xml:space="preserve"> [from the challenged provision].”). Although the ARPA does independently </w:t>
      </w:r>
      <w:r w:rsidRPr="00F56EF8">
        <w:rPr>
          <w:rFonts w:ascii="Century Schoolbook" w:hAnsi="Century Schoolbook"/>
          <w:szCs w:val="28"/>
        </w:rPr>
        <w:t>require States to make a “detailed accounting” of “all modifications to the State’s … tax revenue sources</w:t>
      </w:r>
      <w:r>
        <w:rPr>
          <w:rFonts w:ascii="Century Schoolbook" w:hAnsi="Century Schoolbook"/>
          <w:szCs w:val="28"/>
        </w:rPr>
        <w:t>,</w:t>
      </w:r>
      <w:r w:rsidRPr="00F56EF8">
        <w:rPr>
          <w:rFonts w:ascii="Century Schoolbook" w:hAnsi="Century Schoolbook"/>
          <w:szCs w:val="28"/>
        </w:rPr>
        <w:t xml:space="preserve">” </w:t>
      </w:r>
      <w:r>
        <w:rPr>
          <w:rFonts w:ascii="Century Schoolbook" w:hAnsi="Century Schoolbook"/>
          <w:szCs w:val="28"/>
        </w:rPr>
        <w:t>s</w:t>
      </w:r>
      <w:r w:rsidRPr="00F56EF8">
        <w:rPr>
          <w:rFonts w:ascii="Century Schoolbook" w:hAnsi="Century Schoolbook"/>
          <w:szCs w:val="28"/>
        </w:rPr>
        <w:t>ee 42 U.S.C. §802(d)</w:t>
      </w:r>
      <w:r>
        <w:rPr>
          <w:rFonts w:ascii="Century Schoolbook" w:hAnsi="Century Schoolbook"/>
          <w:szCs w:val="28"/>
        </w:rPr>
        <w:fldChar w:fldCharType="begin"/>
      </w:r>
      <w:r>
        <w:instrText xml:space="preserve"> TA \l "</w:instrText>
      </w:r>
      <w:r w:rsidRPr="00451A9D">
        <w:rPr>
          <w:rFonts w:ascii="Century Schoolbook" w:hAnsi="Century Schoolbook"/>
          <w:szCs w:val="28"/>
        </w:rPr>
        <w:instrText>42 U.S.C. §802(d)</w:instrText>
      </w:r>
      <w:r>
        <w:instrText xml:space="preserve">" \s "42 U.S.C. §802(d)" \c 2 </w:instrText>
      </w:r>
      <w:r>
        <w:rPr>
          <w:rFonts w:ascii="Century Schoolbook" w:hAnsi="Century Schoolbook"/>
          <w:szCs w:val="28"/>
        </w:rPr>
        <w:fldChar w:fldCharType="end"/>
      </w:r>
      <w:r>
        <w:rPr>
          <w:rFonts w:ascii="Century Schoolbook" w:hAnsi="Century Schoolbook"/>
          <w:szCs w:val="28"/>
        </w:rPr>
        <w:t xml:space="preserve">, that requirement is </w:t>
      </w:r>
      <w:r w:rsidRPr="00F56EF8">
        <w:rPr>
          <w:rFonts w:ascii="Century Schoolbook" w:hAnsi="Century Schoolbook"/>
          <w:szCs w:val="28"/>
        </w:rPr>
        <w:t>far less broad</w:t>
      </w:r>
      <w:r>
        <w:rPr>
          <w:rFonts w:ascii="Century Schoolbook" w:hAnsi="Century Schoolbook"/>
          <w:szCs w:val="28"/>
        </w:rPr>
        <w:t xml:space="preserve"> and burdensome than what the IFR imposes specifically to enforce the Tax Mandate’s “directly or indirectly offset” provision, and the statutorily required accounting makes no mention of spending cuts or offsets. </w:t>
      </w:r>
      <w:r>
        <w:rPr>
          <w:rFonts w:ascii="Century Schoolbook" w:hAnsi="Century Schoolbook"/>
          <w:i/>
          <w:iCs/>
          <w:szCs w:val="28"/>
        </w:rPr>
        <w:t xml:space="preserve">Id. </w:t>
      </w:r>
      <w:r w:rsidRPr="00F56EF8">
        <w:rPr>
          <w:rFonts w:ascii="Century Schoolbook" w:hAnsi="Century Schoolbook"/>
          <w:szCs w:val="28"/>
        </w:rPr>
        <w:t>§</w:t>
      </w:r>
      <w:r>
        <w:rPr>
          <w:rFonts w:ascii="Century Schoolbook" w:hAnsi="Century Schoolbook"/>
          <w:iCs/>
          <w:szCs w:val="28"/>
        </w:rPr>
        <w:t>802(c)(2)(A)</w:t>
      </w:r>
      <w:r>
        <w:rPr>
          <w:rFonts w:ascii="Century Schoolbook" w:hAnsi="Century Schoolbook"/>
          <w:iCs/>
          <w:szCs w:val="28"/>
        </w:rPr>
        <w:fldChar w:fldCharType="begin"/>
      </w:r>
      <w:r>
        <w:instrText xml:space="preserve"> TA \s "42 U.S.C. §802(c)(2)(A)" </w:instrText>
      </w:r>
      <w:r>
        <w:rPr>
          <w:rFonts w:ascii="Century Schoolbook" w:hAnsi="Century Schoolbook"/>
          <w:iCs/>
          <w:szCs w:val="28"/>
        </w:rPr>
        <w:fldChar w:fldCharType="end"/>
      </w:r>
      <w:r>
        <w:rPr>
          <w:rFonts w:ascii="Century Schoolbook" w:hAnsi="Century Schoolbook"/>
          <w:i/>
          <w:iCs/>
          <w:szCs w:val="28"/>
        </w:rPr>
        <w:t xml:space="preserve">. </w:t>
      </w:r>
    </w:p>
    <w:p w:rsidR="00331155" w:rsidRDefault="00331155" w:rsidP="00331155">
      <w:pPr>
        <w:pStyle w:val="Body"/>
        <w:jc w:val="both"/>
        <w:rPr>
          <w:rFonts w:ascii="Century Schoolbook" w:hAnsi="Century Schoolbook"/>
        </w:rPr>
      </w:pPr>
      <w:r>
        <w:rPr>
          <w:rFonts w:ascii="Century Schoolbook" w:hAnsi="Century Schoolbook"/>
        </w:rPr>
        <w:t>It would be incredible if the Tax Mandate—which is a significant constraint on the States and is complex enough to have an explanation covering several pages of the Federal Register, see 86 Fed. Reg</w:t>
      </w:r>
      <w:r>
        <w:rPr>
          <w:rFonts w:ascii="Century Schoolbook" w:hAnsi="Century Schoolbook"/>
        </w:rPr>
        <w:fldChar w:fldCharType="begin"/>
      </w:r>
      <w:r>
        <w:instrText xml:space="preserve"> TA \s "86 Fed. Reg. 26,786 (May 17, 2021)" </w:instrText>
      </w:r>
      <w:r>
        <w:rPr>
          <w:rFonts w:ascii="Century Schoolbook" w:hAnsi="Century Schoolbook"/>
        </w:rPr>
        <w:fldChar w:fldCharType="end"/>
      </w:r>
      <w:r>
        <w:rPr>
          <w:rFonts w:ascii="Century Schoolbook" w:hAnsi="Century Schoolbook"/>
        </w:rPr>
        <w:t>. at 26,807-26,811, did not impose any costs on the States. Because it does impose significant costs, there is a justiciable controversy over the validity of the provision.</w:t>
      </w:r>
    </w:p>
    <w:p w:rsidR="009609BB" w:rsidRPr="0045295C" w:rsidRDefault="00445BDC" w:rsidP="00856D6F">
      <w:pPr>
        <w:pStyle w:val="Body"/>
        <w:jc w:val="both"/>
        <w:rPr>
          <w:rFonts w:ascii="Century Schoolbook" w:hAnsi="Century Schoolbook"/>
        </w:rPr>
      </w:pPr>
      <w:r w:rsidRPr="0045295C">
        <w:rPr>
          <w:rFonts w:ascii="Century Schoolbook" w:hAnsi="Century Schoolbook"/>
        </w:rPr>
        <w:t xml:space="preserve">Nor is the size of the marginal compliance costs relevant to the standing inquiry: Injury that is “personal” and “concrete” suffices regardless of size. </w:t>
      </w:r>
      <w:r w:rsidRPr="0045295C">
        <w:rPr>
          <w:rFonts w:ascii="Century Schoolbook" w:hAnsi="Century Schoolbook"/>
          <w:i/>
        </w:rPr>
        <w:t>See Sprint Commc’ns Co., L.P. v. APCC Servs., Inc.</w:t>
      </w:r>
      <w:r w:rsidRPr="0045295C">
        <w:rPr>
          <w:rFonts w:ascii="Century Schoolbook" w:hAnsi="Century Schoolbook"/>
        </w:rPr>
        <w:t>, 554 U.S. 269, 289 (2008)</w:t>
      </w:r>
      <w:r w:rsidR="004D3E07">
        <w:rPr>
          <w:rFonts w:ascii="Century Schoolbook" w:hAnsi="Century Schoolbook"/>
        </w:rPr>
        <w:fldChar w:fldCharType="begin"/>
      </w:r>
      <w:r w:rsidR="004D3E07">
        <w:instrText xml:space="preserve"> TA \l "</w:instrText>
      </w:r>
      <w:r w:rsidR="004D3E07" w:rsidRPr="00671104">
        <w:rPr>
          <w:rFonts w:ascii="Century Schoolbook" w:hAnsi="Century Schoolbook"/>
          <w:i/>
        </w:rPr>
        <w:instrText>Sprint Commc’ns Co., L.P. v. APCC Servs., Inc.</w:instrText>
      </w:r>
      <w:r w:rsidR="004D3E07" w:rsidRPr="00671104">
        <w:rPr>
          <w:rFonts w:ascii="Century Schoolbook" w:hAnsi="Century Schoolbook"/>
        </w:rPr>
        <w:instrText xml:space="preserve">, </w:instrText>
      </w:r>
      <w:r w:rsidR="004D3E07" w:rsidRPr="00671104">
        <w:rPr>
          <w:rFonts w:ascii="Century Schoolbook" w:hAnsi="Century Schoolbook"/>
        </w:rPr>
        <w:br/>
        <w:instrText>554 U.S. 269 (2008)</w:instrText>
      </w:r>
      <w:r w:rsidR="004D3E07">
        <w:instrText xml:space="preserve">" \s "Sprint Commc’ns Co., L.P. v. APCC Servs., Inc., 554 U.S. 269, 289 (2008)" \c 1 </w:instrText>
      </w:r>
      <w:r w:rsidR="004D3E07">
        <w:rPr>
          <w:rFonts w:ascii="Century Schoolbook" w:hAnsi="Century Schoolbook"/>
        </w:rPr>
        <w:fldChar w:fldCharType="end"/>
      </w:r>
      <w:r w:rsidRPr="0045295C">
        <w:rPr>
          <w:rFonts w:ascii="Century Schoolbook" w:hAnsi="Century Schoolbook"/>
        </w:rPr>
        <w:t xml:space="preserve"> (upholding jurisdiction, noting that injury of “perhaps only a dollar or two” would even be sufficient). The cost of Tax Mandate compliance is not minor, but even if it were, it would be sufficient </w:t>
      </w:r>
      <w:r w:rsidR="00856D6F">
        <w:rPr>
          <w:rFonts w:ascii="Century Schoolbook" w:hAnsi="Century Schoolbook"/>
        </w:rPr>
        <w:t>to establish</w:t>
      </w:r>
      <w:r w:rsidRPr="0045295C">
        <w:rPr>
          <w:rFonts w:ascii="Century Schoolbook" w:hAnsi="Century Schoolbook"/>
        </w:rPr>
        <w:t xml:space="preserve"> standing.</w:t>
      </w:r>
    </w:p>
    <w:p w:rsidR="004A6199" w:rsidRPr="0045295C" w:rsidRDefault="004A6199" w:rsidP="0027249C">
      <w:pPr>
        <w:pStyle w:val="Title"/>
      </w:pPr>
      <w:bookmarkStart w:id="36" w:name="_Toc310239110"/>
      <w:bookmarkStart w:id="37" w:name="_Toc326778386"/>
      <w:bookmarkStart w:id="38" w:name="_Toc529220093"/>
      <w:bookmarkStart w:id="39" w:name="_Toc77693852"/>
      <w:r w:rsidRPr="0045295C">
        <w:t>CONCLUSION</w:t>
      </w:r>
      <w:bookmarkEnd w:id="36"/>
      <w:bookmarkEnd w:id="37"/>
      <w:bookmarkEnd w:id="38"/>
      <w:bookmarkEnd w:id="39"/>
    </w:p>
    <w:p w:rsidR="004A6199" w:rsidRPr="0045295C" w:rsidRDefault="00E26581" w:rsidP="00037220">
      <w:pPr>
        <w:spacing w:line="480" w:lineRule="auto"/>
        <w:ind w:firstLine="720"/>
        <w:jc w:val="both"/>
        <w:rPr>
          <w:rFonts w:ascii="Century Schoolbook" w:hAnsi="Century Schoolbook"/>
          <w:szCs w:val="28"/>
        </w:rPr>
      </w:pPr>
      <w:r>
        <w:rPr>
          <w:rFonts w:ascii="Century Schoolbook" w:hAnsi="Century Schoolbook"/>
          <w:szCs w:val="28"/>
        </w:rPr>
        <w:t>T</w:t>
      </w:r>
      <w:r w:rsidR="00666DDC" w:rsidRPr="0045295C">
        <w:rPr>
          <w:rFonts w:ascii="Century Schoolbook" w:hAnsi="Century Schoolbook"/>
          <w:szCs w:val="28"/>
        </w:rPr>
        <w:t xml:space="preserve">his Court should </w:t>
      </w:r>
      <w:r w:rsidR="00037220">
        <w:rPr>
          <w:rFonts w:ascii="Century Schoolbook" w:hAnsi="Century Schoolbook"/>
          <w:szCs w:val="28"/>
        </w:rPr>
        <w:t>affirm the district court’s judgment</w:t>
      </w:r>
      <w:r w:rsidR="00AF7461">
        <w:rPr>
          <w:rFonts w:ascii="Century Schoolbook" w:hAnsi="Century Schoolbook"/>
          <w:szCs w:val="28"/>
        </w:rPr>
        <w:t>.</w:t>
      </w:r>
    </w:p>
    <w:p w:rsidR="00694F9E" w:rsidRPr="0045295C" w:rsidRDefault="00694F9E" w:rsidP="00212400">
      <w:pPr>
        <w:keepNext/>
        <w:keepLines/>
        <w:spacing w:line="480" w:lineRule="auto"/>
        <w:ind w:firstLine="720"/>
        <w:rPr>
          <w:rFonts w:ascii="Century Schoolbook" w:hAnsi="Century Schoolbook"/>
          <w:szCs w:val="28"/>
        </w:rPr>
      </w:pPr>
    </w:p>
    <w:p w:rsidR="00B034E9" w:rsidRPr="0045295C" w:rsidRDefault="00B034E9" w:rsidP="00B034E9">
      <w:pPr>
        <w:keepNext/>
        <w:keepLines/>
        <w:spacing w:line="480" w:lineRule="auto"/>
        <w:ind w:left="4320" w:firstLine="720"/>
        <w:rPr>
          <w:rFonts w:ascii="Century Schoolbook" w:hAnsi="Century Schoolbook"/>
          <w:szCs w:val="28"/>
        </w:rPr>
      </w:pPr>
      <w:r w:rsidRPr="0045295C">
        <w:rPr>
          <w:rFonts w:ascii="Century Schoolbook" w:hAnsi="Century Schoolbook"/>
          <w:szCs w:val="28"/>
        </w:rPr>
        <w:t>Respectfully submitted,</w:t>
      </w:r>
    </w:p>
    <w:p w:rsidR="00694F9E" w:rsidRPr="0045295C" w:rsidRDefault="00694F9E" w:rsidP="00694F9E">
      <w:pPr>
        <w:ind w:left="4320" w:firstLine="720"/>
        <w:rPr>
          <w:rFonts w:ascii="Century Schoolbook" w:hAnsi="Century Schoolbook"/>
          <w:szCs w:val="28"/>
        </w:rPr>
      </w:pPr>
      <w:r w:rsidRPr="0045295C">
        <w:rPr>
          <w:rFonts w:ascii="Century Schoolbook" w:hAnsi="Century Schoolbook"/>
          <w:szCs w:val="28"/>
        </w:rPr>
        <w:t>MARK BRNOVICH</w:t>
      </w:r>
    </w:p>
    <w:p w:rsidR="00694F9E" w:rsidRPr="0045295C" w:rsidRDefault="00694F9E" w:rsidP="00694F9E">
      <w:pPr>
        <w:ind w:left="4320" w:firstLine="720"/>
        <w:rPr>
          <w:rFonts w:ascii="Century Schoolbook" w:hAnsi="Century Schoolbook"/>
          <w:szCs w:val="28"/>
        </w:rPr>
      </w:pPr>
      <w:r w:rsidRPr="0045295C">
        <w:rPr>
          <w:rFonts w:ascii="Century Schoolbook" w:hAnsi="Century Schoolbook"/>
          <w:szCs w:val="28"/>
        </w:rPr>
        <w:t>ATTORNEY GENERAL</w:t>
      </w:r>
    </w:p>
    <w:p w:rsidR="00694F9E" w:rsidRPr="0045295C" w:rsidRDefault="00694F9E" w:rsidP="00694F9E">
      <w:pPr>
        <w:widowControl w:val="0"/>
        <w:tabs>
          <w:tab w:val="right" w:pos="0"/>
        </w:tabs>
        <w:rPr>
          <w:rFonts w:ascii="Century Schoolbook" w:hAnsi="Century Schoolbook"/>
          <w:szCs w:val="28"/>
        </w:rPr>
      </w:pPr>
    </w:p>
    <w:p w:rsidR="00B034E9" w:rsidRPr="0045295C" w:rsidRDefault="00694F9E" w:rsidP="00694F9E">
      <w:pPr>
        <w:widowControl w:val="0"/>
        <w:rPr>
          <w:rFonts w:ascii="Century Schoolbook" w:hAnsi="Century Schoolbook"/>
          <w:szCs w:val="28"/>
        </w:rPr>
      </w:pP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00B034E9" w:rsidRPr="0045295C">
        <w:rPr>
          <w:rFonts w:ascii="Century Schoolbook" w:hAnsi="Century Schoolbook"/>
          <w:szCs w:val="28"/>
          <w:u w:val="single"/>
        </w:rPr>
        <w:t>s/ Drew C. Ensign                     </w:t>
      </w:r>
    </w:p>
    <w:p w:rsidR="00113870" w:rsidRPr="0045295C" w:rsidRDefault="009918C6" w:rsidP="009918C6">
      <w:pPr>
        <w:widowControl w:val="0"/>
        <w:ind w:left="4320" w:firstLine="720"/>
        <w:rPr>
          <w:rFonts w:ascii="Century Schoolbook" w:hAnsi="Century Schoolbook"/>
          <w:szCs w:val="28"/>
        </w:rPr>
      </w:pPr>
      <w:r w:rsidRPr="0045295C">
        <w:rPr>
          <w:rFonts w:ascii="Century Schoolbook" w:hAnsi="Century Schoolbook"/>
          <w:szCs w:val="28"/>
        </w:rPr>
        <w:t>Drew C. Ensign</w:t>
      </w:r>
    </w:p>
    <w:p w:rsidR="00694F9E" w:rsidRPr="0045295C" w:rsidRDefault="00113870" w:rsidP="009918C6">
      <w:pPr>
        <w:widowControl w:val="0"/>
        <w:ind w:left="4320" w:firstLine="720"/>
        <w:rPr>
          <w:rFonts w:ascii="Century Schoolbook" w:hAnsi="Century Schoolbook"/>
          <w:szCs w:val="28"/>
        </w:rPr>
      </w:pPr>
      <w:r w:rsidRPr="0045295C">
        <w:rPr>
          <w:rFonts w:ascii="Century Schoolbook" w:hAnsi="Century Schoolbook"/>
          <w:i/>
          <w:szCs w:val="28"/>
        </w:rPr>
        <w:t xml:space="preserve">   Deputy Solicitor General</w:t>
      </w:r>
      <w:r w:rsidR="00694F9E" w:rsidRPr="0045295C">
        <w:rPr>
          <w:rFonts w:ascii="Century Schoolbook" w:hAnsi="Century Schoolbook"/>
          <w:szCs w:val="28"/>
        </w:rPr>
        <w:t xml:space="preserve"> </w:t>
      </w:r>
    </w:p>
    <w:p w:rsidR="00694F9E" w:rsidRPr="0045295C" w:rsidRDefault="00694F9E" w:rsidP="00694F9E">
      <w:pPr>
        <w:widowControl w:val="0"/>
        <w:tabs>
          <w:tab w:val="right" w:pos="0"/>
        </w:tabs>
        <w:rPr>
          <w:rFonts w:ascii="Century Schoolbook" w:hAnsi="Century Schoolbook"/>
          <w:szCs w:val="28"/>
        </w:rPr>
      </w:pPr>
      <w:r w:rsidRPr="0045295C">
        <w:rPr>
          <w:rFonts w:ascii="Century Schoolbook" w:hAnsi="Century Schoolbook"/>
          <w:szCs w:val="28"/>
        </w:rPr>
        <w:tab/>
      </w:r>
      <w:r w:rsidR="009918C6" w:rsidRPr="0045295C">
        <w:rPr>
          <w:rFonts w:ascii="Century Schoolbook" w:hAnsi="Century Schoolbook"/>
          <w:szCs w:val="28"/>
        </w:rPr>
        <w:tab/>
      </w:r>
      <w:r w:rsidR="009918C6" w:rsidRPr="0045295C">
        <w:rPr>
          <w:rFonts w:ascii="Century Schoolbook" w:hAnsi="Century Schoolbook"/>
          <w:szCs w:val="28"/>
        </w:rPr>
        <w:tab/>
      </w:r>
      <w:r w:rsidR="009918C6" w:rsidRPr="0045295C">
        <w:rPr>
          <w:rFonts w:ascii="Century Schoolbook" w:hAnsi="Century Schoolbook"/>
          <w:szCs w:val="28"/>
        </w:rPr>
        <w:tab/>
      </w:r>
      <w:r w:rsidR="009918C6" w:rsidRPr="0045295C">
        <w:rPr>
          <w:rFonts w:ascii="Century Schoolbook" w:hAnsi="Century Schoolbook"/>
          <w:szCs w:val="28"/>
        </w:rPr>
        <w:tab/>
      </w:r>
      <w:r w:rsidR="009918C6" w:rsidRPr="0045295C">
        <w:rPr>
          <w:rFonts w:ascii="Century Schoolbook" w:hAnsi="Century Schoolbook"/>
          <w:szCs w:val="28"/>
        </w:rPr>
        <w:tab/>
      </w:r>
      <w:r w:rsidR="009918C6" w:rsidRPr="0045295C">
        <w:rPr>
          <w:rFonts w:ascii="Century Schoolbook" w:hAnsi="Century Schoolbook"/>
          <w:szCs w:val="28"/>
        </w:rPr>
        <w:tab/>
      </w:r>
      <w:r w:rsidRPr="0045295C">
        <w:rPr>
          <w:rFonts w:ascii="Century Schoolbook" w:hAnsi="Century Schoolbook"/>
          <w:szCs w:val="28"/>
        </w:rPr>
        <w:t>2005 N. Central Avenue</w:t>
      </w:r>
    </w:p>
    <w:p w:rsidR="00694F9E" w:rsidRPr="0045295C" w:rsidRDefault="00694F9E" w:rsidP="00694F9E">
      <w:pPr>
        <w:widowControl w:val="0"/>
        <w:ind w:left="4320" w:right="-120" w:firstLine="720"/>
        <w:rPr>
          <w:rFonts w:ascii="Century Schoolbook" w:hAnsi="Century Schoolbook"/>
          <w:szCs w:val="28"/>
        </w:rPr>
      </w:pPr>
      <w:r w:rsidRPr="0045295C">
        <w:rPr>
          <w:rFonts w:ascii="Century Schoolbook" w:hAnsi="Century Schoolbook"/>
          <w:szCs w:val="28"/>
        </w:rPr>
        <w:t>Phoenix, AZ 85004</w:t>
      </w:r>
    </w:p>
    <w:p w:rsidR="00694F9E" w:rsidRPr="0045295C" w:rsidRDefault="00694F9E" w:rsidP="00694F9E">
      <w:pPr>
        <w:widowControl w:val="0"/>
        <w:ind w:left="4320" w:firstLine="720"/>
        <w:rPr>
          <w:rFonts w:ascii="Century Schoolbook" w:hAnsi="Century Schoolbook"/>
          <w:i/>
          <w:szCs w:val="28"/>
        </w:rPr>
      </w:pPr>
      <w:r w:rsidRPr="0045295C">
        <w:rPr>
          <w:rFonts w:ascii="Century Schoolbook" w:hAnsi="Century Schoolbook"/>
          <w:szCs w:val="28"/>
        </w:rPr>
        <w:t>Telephone: (602) 542-</w:t>
      </w:r>
      <w:r w:rsidR="00943ADB" w:rsidRPr="0045295C">
        <w:rPr>
          <w:rFonts w:ascii="Century Schoolbook" w:hAnsi="Century Schoolbook"/>
          <w:szCs w:val="28"/>
        </w:rPr>
        <w:t>5025</w:t>
      </w:r>
    </w:p>
    <w:p w:rsidR="00694F9E" w:rsidRPr="0045295C" w:rsidRDefault="00694F9E" w:rsidP="00694F9E">
      <w:pPr>
        <w:widowControl w:val="0"/>
        <w:ind w:left="4320" w:firstLine="720"/>
        <w:rPr>
          <w:rFonts w:ascii="Century Schoolbook" w:hAnsi="Century Schoolbook"/>
          <w:szCs w:val="28"/>
        </w:rPr>
      </w:pPr>
      <w:r w:rsidRPr="0045295C">
        <w:rPr>
          <w:rFonts w:ascii="Century Schoolbook" w:hAnsi="Century Schoolbook"/>
          <w:szCs w:val="28"/>
        </w:rPr>
        <w:t>Facsimile: (6</w:t>
      </w:r>
      <w:r w:rsidR="00A67844" w:rsidRPr="0045295C">
        <w:rPr>
          <w:rFonts w:ascii="Century Schoolbook" w:hAnsi="Century Schoolbook"/>
          <w:szCs w:val="28"/>
        </w:rPr>
        <w:t>02) 542-4377</w:t>
      </w:r>
      <w:r w:rsidRPr="0045295C">
        <w:rPr>
          <w:rFonts w:ascii="Century Schoolbook" w:hAnsi="Century Schoolbook"/>
          <w:szCs w:val="28"/>
        </w:rPr>
        <w:tab/>
      </w:r>
    </w:p>
    <w:p w:rsidR="006031A3" w:rsidRDefault="00B034E9" w:rsidP="007247DC">
      <w:pPr>
        <w:keepNext/>
        <w:keepLines/>
        <w:spacing w:line="480" w:lineRule="auto"/>
        <w:ind w:firstLine="720"/>
        <w:rPr>
          <w:rFonts w:ascii="Century Schoolbook" w:hAnsi="Century Schoolbook"/>
          <w:i/>
          <w:szCs w:val="28"/>
        </w:rPr>
      </w:pPr>
      <w:r w:rsidRPr="0045295C">
        <w:rPr>
          <w:rFonts w:ascii="Century Schoolbook" w:hAnsi="Century Schoolbook"/>
          <w:i/>
          <w:szCs w:val="28"/>
        </w:rPr>
        <w:tab/>
      </w:r>
      <w:r w:rsidRPr="0045295C">
        <w:rPr>
          <w:rFonts w:ascii="Century Schoolbook" w:hAnsi="Century Schoolbook"/>
          <w:i/>
          <w:szCs w:val="28"/>
        </w:rPr>
        <w:tab/>
      </w:r>
      <w:r w:rsidRPr="0045295C">
        <w:rPr>
          <w:rFonts w:ascii="Century Schoolbook" w:hAnsi="Century Schoolbook"/>
          <w:i/>
          <w:szCs w:val="28"/>
        </w:rPr>
        <w:tab/>
      </w:r>
      <w:r w:rsidRPr="0045295C">
        <w:rPr>
          <w:rFonts w:ascii="Century Schoolbook" w:hAnsi="Century Schoolbook"/>
          <w:i/>
          <w:szCs w:val="28"/>
        </w:rPr>
        <w:tab/>
      </w:r>
      <w:r w:rsidRPr="0045295C">
        <w:rPr>
          <w:rFonts w:ascii="Century Schoolbook" w:hAnsi="Century Schoolbook"/>
          <w:i/>
          <w:szCs w:val="28"/>
        </w:rPr>
        <w:tab/>
      </w:r>
      <w:r w:rsidRPr="0045295C">
        <w:rPr>
          <w:rFonts w:ascii="Century Schoolbook" w:hAnsi="Century Schoolbook"/>
          <w:i/>
          <w:szCs w:val="28"/>
        </w:rPr>
        <w:tab/>
      </w:r>
      <w:r w:rsidR="00694F9E" w:rsidRPr="0045295C">
        <w:rPr>
          <w:rFonts w:ascii="Century Schoolbook" w:hAnsi="Century Schoolbook"/>
          <w:i/>
          <w:szCs w:val="28"/>
        </w:rPr>
        <w:t>Counsel for the State</w:t>
      </w:r>
      <w:r w:rsidRPr="0045295C">
        <w:rPr>
          <w:rFonts w:ascii="Century Schoolbook" w:hAnsi="Century Schoolbook"/>
          <w:i/>
          <w:szCs w:val="28"/>
        </w:rPr>
        <w:t xml:space="preserve"> of Arizona</w:t>
      </w:r>
    </w:p>
    <w:p w:rsidR="006031A3" w:rsidRPr="006B6F81" w:rsidRDefault="00C229F9" w:rsidP="006031A3">
      <w:pPr>
        <w:widowControl w:val="0"/>
        <w:spacing w:after="120"/>
        <w:rPr>
          <w:rFonts w:ascii="Century Schoolbook" w:hAnsi="Century Schoolbook"/>
          <w:b/>
          <w:bCs/>
          <w:iCs/>
          <w:szCs w:val="28"/>
        </w:rPr>
      </w:pPr>
      <w:r>
        <w:rPr>
          <w:rFonts w:ascii="Century Schoolbook" w:hAnsi="Century Schoolbook"/>
          <w:b/>
          <w:bCs/>
          <w:iCs/>
          <w:szCs w:val="28"/>
        </w:rPr>
        <w:br w:type="page"/>
      </w:r>
      <w:r w:rsidR="006031A3" w:rsidRPr="006B6F81">
        <w:rPr>
          <w:rFonts w:ascii="Century Schoolbook" w:hAnsi="Century Schoolbook"/>
          <w:b/>
          <w:bCs/>
          <w:iCs/>
          <w:szCs w:val="28"/>
        </w:rPr>
        <w:t>Also supported by:</w:t>
      </w:r>
    </w:p>
    <w:tbl>
      <w:tblPr>
        <w:tblpPr w:leftFromText="180" w:rightFromText="180" w:vertAnchor="text" w:horzAnchor="margin" w:tblpY="55"/>
        <w:tblW w:w="5516" w:type="pct"/>
        <w:tblLook w:val="0000" w:firstRow="0" w:lastRow="0" w:firstColumn="0" w:lastColumn="0" w:noHBand="0" w:noVBand="0"/>
      </w:tblPr>
      <w:tblGrid>
        <w:gridCol w:w="5109"/>
        <w:gridCol w:w="5217"/>
      </w:tblGrid>
      <w:tr w:rsidR="006031A3" w:rsidRPr="006B6F81" w:rsidTr="00E13F03">
        <w:trPr>
          <w:trHeight w:val="73"/>
        </w:trPr>
        <w:tc>
          <w:tcPr>
            <w:tcW w:w="2474" w:type="pct"/>
            <w:tcBorders>
              <w:top w:val="nil"/>
              <w:left w:val="nil"/>
              <w:bottom w:val="nil"/>
              <w:right w:val="nil"/>
            </w:tcBorders>
          </w:tcPr>
          <w:p w:rsidR="006031A3" w:rsidRPr="00E50834" w:rsidRDefault="006031A3" w:rsidP="00E13F03">
            <w:pPr>
              <w:autoSpaceDE w:val="0"/>
              <w:autoSpaceDN w:val="0"/>
              <w:adjustRightInd w:val="0"/>
              <w:rPr>
                <w:rFonts w:ascii="Century Schoolbook" w:hAnsi="Century Schoolbook" w:cs="NewCenturySchlbk-Italic"/>
                <w:i/>
                <w:iCs/>
                <w:szCs w:val="28"/>
              </w:rPr>
            </w:pPr>
          </w:p>
          <w:p w:rsidR="00E50834" w:rsidRPr="00E50834" w:rsidRDefault="009A7A4F" w:rsidP="00E50834">
            <w:pPr>
              <w:autoSpaceDE w:val="0"/>
              <w:autoSpaceDN w:val="0"/>
              <w:adjustRightInd w:val="0"/>
              <w:rPr>
                <w:rFonts w:ascii="Century Schoolbook" w:hAnsi="Century Schoolbook" w:cs="NewCenturySchlbk-Italic"/>
                <w:i/>
                <w:iCs/>
                <w:szCs w:val="28"/>
              </w:rPr>
            </w:pPr>
            <w:r>
              <w:rPr>
                <w:rFonts w:ascii="Century Schoolbook" w:hAnsi="Century Schoolbook" w:cs="NewCenturySchlbk-Roman2"/>
                <w:smallCaps/>
                <w:szCs w:val="28"/>
              </w:rPr>
              <w:t>[[AG LIST]]</w:t>
            </w:r>
          </w:p>
          <w:p w:rsidR="007247DC" w:rsidRPr="00E50834" w:rsidRDefault="007247DC" w:rsidP="006031A3">
            <w:pPr>
              <w:autoSpaceDE w:val="0"/>
              <w:autoSpaceDN w:val="0"/>
              <w:adjustRightInd w:val="0"/>
              <w:rPr>
                <w:rFonts w:ascii="Century Schoolbook" w:hAnsi="Century Schoolbook" w:cs="NewCenturySchlbk-Italic"/>
                <w:i/>
                <w:iCs/>
                <w:szCs w:val="28"/>
              </w:rPr>
            </w:pPr>
          </w:p>
          <w:p w:rsidR="007247DC" w:rsidRPr="00E50834" w:rsidRDefault="007247DC" w:rsidP="007247DC">
            <w:pPr>
              <w:autoSpaceDE w:val="0"/>
              <w:autoSpaceDN w:val="0"/>
              <w:adjustRightInd w:val="0"/>
              <w:rPr>
                <w:rFonts w:ascii="Century Schoolbook" w:hAnsi="Century Schoolbook" w:cs="NewCenturySchlbk-Italic"/>
                <w:i/>
                <w:iCs/>
                <w:szCs w:val="28"/>
              </w:rPr>
            </w:pPr>
          </w:p>
          <w:p w:rsidR="00E50834" w:rsidRPr="00E50834" w:rsidRDefault="00E50834" w:rsidP="007247DC">
            <w:pPr>
              <w:autoSpaceDE w:val="0"/>
              <w:autoSpaceDN w:val="0"/>
              <w:adjustRightInd w:val="0"/>
              <w:rPr>
                <w:rFonts w:ascii="Century Schoolbook" w:hAnsi="Century Schoolbook" w:cs="NewCenturySchlbk-Italic"/>
                <w:i/>
                <w:iCs/>
                <w:szCs w:val="28"/>
              </w:rPr>
            </w:pPr>
          </w:p>
          <w:p w:rsidR="00E50834" w:rsidRPr="00E50834" w:rsidRDefault="00E50834" w:rsidP="007247DC">
            <w:pPr>
              <w:autoSpaceDE w:val="0"/>
              <w:autoSpaceDN w:val="0"/>
              <w:adjustRightInd w:val="0"/>
              <w:rPr>
                <w:rFonts w:ascii="Century Schoolbook" w:hAnsi="Century Schoolbook" w:cs="NewCenturySchlbk-Italic"/>
                <w:i/>
                <w:iCs/>
                <w:szCs w:val="28"/>
              </w:rPr>
            </w:pPr>
          </w:p>
          <w:p w:rsidR="007247DC" w:rsidRPr="00E50834" w:rsidRDefault="007247DC" w:rsidP="006031A3">
            <w:pPr>
              <w:autoSpaceDE w:val="0"/>
              <w:autoSpaceDN w:val="0"/>
              <w:adjustRightInd w:val="0"/>
              <w:rPr>
                <w:rFonts w:ascii="Century Schoolbook" w:hAnsi="Century Schoolbook" w:cs="NewCenturySchlbk-Italic"/>
                <w:i/>
                <w:iCs/>
                <w:szCs w:val="28"/>
              </w:rPr>
            </w:pPr>
          </w:p>
          <w:p w:rsidR="006031A3" w:rsidRPr="00E50834" w:rsidRDefault="006031A3" w:rsidP="006031A3">
            <w:pPr>
              <w:autoSpaceDE w:val="0"/>
              <w:autoSpaceDN w:val="0"/>
              <w:adjustRightInd w:val="0"/>
              <w:rPr>
                <w:rFonts w:ascii="Century Schoolbook" w:hAnsi="Century Schoolbook" w:cs="NewCenturySchlbk-Roman2"/>
                <w:smallCaps/>
                <w:szCs w:val="28"/>
              </w:rPr>
            </w:pPr>
          </w:p>
          <w:p w:rsidR="006031A3" w:rsidRPr="00E50834" w:rsidRDefault="006031A3" w:rsidP="004C7CF4">
            <w:pPr>
              <w:autoSpaceDE w:val="0"/>
              <w:autoSpaceDN w:val="0"/>
              <w:adjustRightInd w:val="0"/>
              <w:rPr>
                <w:rFonts w:ascii="Century Schoolbook" w:hAnsi="Century Schoolbook" w:cs="NewCenturySchlbk-Italic"/>
                <w:i/>
                <w:iCs/>
                <w:szCs w:val="28"/>
              </w:rPr>
            </w:pPr>
          </w:p>
        </w:tc>
        <w:tc>
          <w:tcPr>
            <w:tcW w:w="2526" w:type="pct"/>
            <w:tcBorders>
              <w:top w:val="nil"/>
              <w:left w:val="nil"/>
              <w:bottom w:val="nil"/>
              <w:right w:val="nil"/>
            </w:tcBorders>
          </w:tcPr>
          <w:p w:rsidR="006031A3" w:rsidRPr="00E50834" w:rsidRDefault="006031A3" w:rsidP="00E13F03">
            <w:pPr>
              <w:autoSpaceDE w:val="0"/>
              <w:autoSpaceDN w:val="0"/>
              <w:adjustRightInd w:val="0"/>
              <w:rPr>
                <w:rFonts w:ascii="Century Schoolbook" w:hAnsi="Century Schoolbook" w:cs="NewCenturySchlbk-Italic"/>
                <w:i/>
                <w:iCs/>
                <w:szCs w:val="28"/>
              </w:rPr>
            </w:pPr>
          </w:p>
          <w:p w:rsidR="006031A3" w:rsidRPr="00E50834" w:rsidRDefault="009A7A4F" w:rsidP="00E13F03">
            <w:pPr>
              <w:autoSpaceDE w:val="0"/>
              <w:autoSpaceDN w:val="0"/>
              <w:adjustRightInd w:val="0"/>
              <w:rPr>
                <w:rFonts w:ascii="Century Schoolbook" w:hAnsi="Century Schoolbook" w:cs="NewCenturySchlbk-Roman2"/>
                <w:szCs w:val="28"/>
              </w:rPr>
            </w:pPr>
            <w:r>
              <w:rPr>
                <w:rFonts w:ascii="Century Schoolbook" w:hAnsi="Century Schoolbook" w:cs="NewCenturySchlbk-Roman2"/>
                <w:smallCaps/>
                <w:szCs w:val="28"/>
              </w:rPr>
              <w:t>[[AG LIST]]</w:t>
            </w:r>
          </w:p>
        </w:tc>
      </w:tr>
    </w:tbl>
    <w:p w:rsidR="00E50834" w:rsidRDefault="00E50834" w:rsidP="00EA5B43">
      <w:pPr>
        <w:pStyle w:val="Heading1"/>
        <w:numPr>
          <w:ilvl w:val="0"/>
          <w:numId w:val="0"/>
        </w:numPr>
        <w:jc w:val="center"/>
        <w:rPr>
          <w:rFonts w:ascii="Century Schoolbook" w:hAnsi="Century Schoolbook"/>
        </w:rPr>
      </w:pPr>
      <w:bookmarkStart w:id="40" w:name="_Toc2262285"/>
      <w:bookmarkStart w:id="41" w:name="_Toc77693690"/>
      <w:bookmarkStart w:id="42" w:name="_Toc77693746"/>
      <w:bookmarkStart w:id="43" w:name="_Toc77693853"/>
    </w:p>
    <w:p w:rsidR="00207E64" w:rsidRPr="0045295C" w:rsidRDefault="00E50834" w:rsidP="00EA5B43">
      <w:pPr>
        <w:pStyle w:val="Heading1"/>
        <w:numPr>
          <w:ilvl w:val="0"/>
          <w:numId w:val="0"/>
        </w:numPr>
        <w:jc w:val="center"/>
        <w:rPr>
          <w:rFonts w:ascii="Century Schoolbook" w:hAnsi="Century Schoolbook"/>
        </w:rPr>
      </w:pPr>
      <w:r>
        <w:rPr>
          <w:rFonts w:ascii="Century Schoolbook" w:hAnsi="Century Schoolbook"/>
        </w:rPr>
        <w:br w:type="page"/>
      </w:r>
      <w:r w:rsidR="00207E64" w:rsidRPr="0045295C">
        <w:rPr>
          <w:rFonts w:ascii="Century Schoolbook" w:hAnsi="Century Schoolbook"/>
        </w:rPr>
        <w:t>CERTIFICATE OF COMPLIANCE</w:t>
      </w:r>
      <w:bookmarkEnd w:id="40"/>
      <w:bookmarkEnd w:id="41"/>
      <w:bookmarkEnd w:id="42"/>
      <w:bookmarkEnd w:id="43"/>
    </w:p>
    <w:p w:rsidR="00207E64" w:rsidRPr="0045295C" w:rsidRDefault="002C3925" w:rsidP="005E0CBE">
      <w:pPr>
        <w:spacing w:line="480" w:lineRule="auto"/>
        <w:ind w:firstLine="720"/>
        <w:jc w:val="both"/>
        <w:rPr>
          <w:rFonts w:ascii="Century Schoolbook" w:hAnsi="Century Schoolbook"/>
          <w:szCs w:val="28"/>
        </w:rPr>
      </w:pPr>
      <w:r w:rsidRPr="0045295C">
        <w:rPr>
          <w:rFonts w:ascii="Century Schoolbook" w:hAnsi="Century Schoolbook"/>
          <w:szCs w:val="28"/>
        </w:rPr>
        <w:t xml:space="preserve">I certify that pursuant to Fed. R. App. P. 32(a)(7)(C), the Brief of </w:t>
      </w:r>
      <w:r w:rsidRPr="0045295C">
        <w:rPr>
          <w:rFonts w:ascii="Century Schoolbook" w:hAnsi="Century Schoolbook"/>
          <w:i/>
          <w:szCs w:val="28"/>
        </w:rPr>
        <w:t>Amici Curiae</w:t>
      </w:r>
      <w:r w:rsidRPr="0045295C">
        <w:rPr>
          <w:rFonts w:ascii="Century Schoolbook" w:hAnsi="Century Schoolbook"/>
          <w:szCs w:val="28"/>
        </w:rPr>
        <w:t xml:space="preserve"> States of </w:t>
      </w:r>
      <w:r w:rsidR="00E50834" w:rsidRPr="0045295C">
        <w:rPr>
          <w:rFonts w:ascii="Century Schoolbook" w:hAnsi="Century Schoolbook"/>
        </w:rPr>
        <w:t xml:space="preserve">States of </w:t>
      </w:r>
      <w:r w:rsidR="00C229F9" w:rsidRPr="0045295C">
        <w:rPr>
          <w:rFonts w:ascii="Century Schoolbook" w:hAnsi="Century Schoolbook"/>
        </w:rPr>
        <w:t>Arizona</w:t>
      </w:r>
      <w:r w:rsidR="009A7A4F">
        <w:rPr>
          <w:rFonts w:ascii="Century Schoolbook" w:hAnsi="Century Schoolbook"/>
        </w:rPr>
        <w:t xml:space="preserve"> [[and list]]</w:t>
      </w:r>
      <w:r w:rsidR="00C229F9">
        <w:rPr>
          <w:rFonts w:ascii="Century Schoolbook" w:hAnsi="Century Schoolbook"/>
          <w:bCs/>
        </w:rPr>
        <w:t xml:space="preserve"> </w:t>
      </w:r>
      <w:r w:rsidRPr="0045295C">
        <w:rPr>
          <w:rFonts w:ascii="Century Schoolbook" w:hAnsi="Century Schoolbook"/>
          <w:szCs w:val="28"/>
        </w:rPr>
        <w:t xml:space="preserve">is proportionately spaced, has a typeface of 14 point and contains </w:t>
      </w:r>
      <w:r w:rsidR="009A7A4F">
        <w:rPr>
          <w:rFonts w:ascii="Century Schoolbook" w:hAnsi="Century Schoolbook"/>
          <w:szCs w:val="28"/>
        </w:rPr>
        <w:t>[[WORD COUNT]]</w:t>
      </w:r>
      <w:r w:rsidRPr="0045295C">
        <w:rPr>
          <w:rFonts w:ascii="Century Schoolbook" w:hAnsi="Century Schoolbook"/>
          <w:szCs w:val="28"/>
        </w:rPr>
        <w:t xml:space="preserve"> words</w:t>
      </w:r>
      <w:r w:rsidRPr="0045295C">
        <w:rPr>
          <w:rFonts w:ascii="Century Schoolbook" w:hAnsi="Century Schoolbook"/>
          <w:color w:val="000000"/>
          <w:szCs w:val="28"/>
        </w:rPr>
        <w:t>, excluding the parts of the brief exempted by Fed. R. App. P. 32(a)(7)(B)(iii).</w:t>
      </w:r>
    </w:p>
    <w:p w:rsidR="00207E64" w:rsidRPr="0045295C" w:rsidRDefault="00207E64" w:rsidP="00207E64">
      <w:pPr>
        <w:rPr>
          <w:rFonts w:ascii="Century Schoolbook" w:hAnsi="Century Schoolbook"/>
          <w:szCs w:val="28"/>
        </w:rPr>
      </w:pPr>
    </w:p>
    <w:p w:rsidR="00207E64" w:rsidRPr="0045295C" w:rsidRDefault="00207E64" w:rsidP="00207E64">
      <w:pPr>
        <w:pStyle w:val="Heading1"/>
        <w:numPr>
          <w:ilvl w:val="0"/>
          <w:numId w:val="0"/>
        </w:numPr>
        <w:ind w:left="720" w:hanging="720"/>
        <w:jc w:val="center"/>
        <w:rPr>
          <w:rFonts w:ascii="Century Schoolbook" w:hAnsi="Century Schoolbook"/>
          <w:b w:val="0"/>
        </w:rPr>
      </w:pPr>
      <w:r w:rsidRPr="0045295C">
        <w:rPr>
          <w:rFonts w:ascii="Century Schoolbook" w:hAnsi="Century Schoolbook"/>
        </w:rPr>
        <w:br w:type="page"/>
      </w:r>
      <w:bookmarkStart w:id="44" w:name="_Toc2262286"/>
      <w:bookmarkStart w:id="45" w:name="_Toc77693691"/>
      <w:bookmarkStart w:id="46" w:name="_Toc77693747"/>
      <w:bookmarkStart w:id="47" w:name="_Toc77693854"/>
      <w:r w:rsidRPr="0045295C">
        <w:rPr>
          <w:rFonts w:ascii="Century Schoolbook" w:hAnsi="Century Schoolbook"/>
        </w:rPr>
        <w:t>CERTIFICATE OF SERVICE</w:t>
      </w:r>
      <w:bookmarkEnd w:id="44"/>
      <w:bookmarkEnd w:id="45"/>
      <w:bookmarkEnd w:id="46"/>
      <w:bookmarkEnd w:id="47"/>
    </w:p>
    <w:p w:rsidR="00207E64" w:rsidRPr="0045295C" w:rsidRDefault="00207E64" w:rsidP="005E0CBE">
      <w:pPr>
        <w:spacing w:line="480" w:lineRule="auto"/>
        <w:ind w:firstLine="720"/>
        <w:jc w:val="both"/>
        <w:rPr>
          <w:rFonts w:ascii="Century Schoolbook" w:hAnsi="Century Schoolbook"/>
          <w:szCs w:val="28"/>
        </w:rPr>
      </w:pPr>
      <w:r w:rsidRPr="0045295C">
        <w:rPr>
          <w:rFonts w:ascii="Century Schoolbook" w:hAnsi="Century Schoolbook"/>
          <w:szCs w:val="28"/>
        </w:rPr>
        <w:t xml:space="preserve">I, Drew C. Ensign, hereby certify that I electronically filed the foregoing </w:t>
      </w:r>
      <w:r w:rsidR="005E0CBE">
        <w:rPr>
          <w:rFonts w:ascii="Century Schoolbook" w:hAnsi="Century Schoolbook"/>
          <w:szCs w:val="28"/>
        </w:rPr>
        <w:t xml:space="preserve">Brief of </w:t>
      </w:r>
      <w:r w:rsidR="005E0CBE" w:rsidRPr="00FB4A64">
        <w:rPr>
          <w:rFonts w:ascii="Century Schoolbook" w:hAnsi="Century Schoolbook"/>
          <w:i/>
          <w:szCs w:val="28"/>
        </w:rPr>
        <w:t>Amici Curiae</w:t>
      </w:r>
      <w:r w:rsidR="005E0CBE">
        <w:rPr>
          <w:rFonts w:ascii="Century Schoolbook" w:hAnsi="Century Schoolbook"/>
          <w:szCs w:val="28"/>
        </w:rPr>
        <w:t xml:space="preserve"> States of </w:t>
      </w:r>
      <w:r w:rsidR="00E50834" w:rsidRPr="0045295C">
        <w:rPr>
          <w:rFonts w:ascii="Century Schoolbook" w:hAnsi="Century Schoolbook"/>
        </w:rPr>
        <w:t xml:space="preserve">States of </w:t>
      </w:r>
      <w:proofErr w:type="gramStart"/>
      <w:r w:rsidR="00C229F9" w:rsidRPr="0045295C">
        <w:rPr>
          <w:rFonts w:ascii="Century Schoolbook" w:hAnsi="Century Schoolbook"/>
        </w:rPr>
        <w:t>Arizona</w:t>
      </w:r>
      <w:r w:rsidR="009A7A4F">
        <w:rPr>
          <w:rFonts w:ascii="Century Schoolbook" w:hAnsi="Century Schoolbook"/>
        </w:rPr>
        <w:t>[</w:t>
      </w:r>
      <w:proofErr w:type="gramEnd"/>
      <w:r w:rsidR="009A7A4F">
        <w:rPr>
          <w:rFonts w:ascii="Century Schoolbook" w:hAnsi="Century Schoolbook"/>
        </w:rPr>
        <w:t>[and list]]</w:t>
      </w:r>
      <w:r w:rsidR="00C229F9">
        <w:rPr>
          <w:rFonts w:ascii="Century Schoolbook" w:hAnsi="Century Schoolbook"/>
          <w:bCs/>
        </w:rPr>
        <w:t xml:space="preserve"> </w:t>
      </w:r>
      <w:r w:rsidRPr="0045295C">
        <w:rPr>
          <w:rFonts w:ascii="Century Schoolbook" w:hAnsi="Century Schoolbook"/>
          <w:szCs w:val="28"/>
        </w:rPr>
        <w:t xml:space="preserve">with the Clerk of the Court for the United States Court of Appeals for the </w:t>
      </w:r>
      <w:r w:rsidR="009A7A4F">
        <w:rPr>
          <w:rFonts w:ascii="Century Schoolbook" w:hAnsi="Century Schoolbook"/>
          <w:szCs w:val="28"/>
        </w:rPr>
        <w:t>Sixth</w:t>
      </w:r>
      <w:r w:rsidR="00455F4E">
        <w:rPr>
          <w:rFonts w:ascii="Century Schoolbook" w:hAnsi="Century Schoolbook"/>
          <w:szCs w:val="28"/>
        </w:rPr>
        <w:t xml:space="preserve"> </w:t>
      </w:r>
      <w:r w:rsidRPr="0045295C">
        <w:rPr>
          <w:rFonts w:ascii="Century Schoolbook" w:hAnsi="Century Schoolbook"/>
          <w:szCs w:val="28"/>
        </w:rPr>
        <w:t xml:space="preserve">Circuit by using the appellate CM/ECF system on </w:t>
      </w:r>
      <w:r w:rsidR="009A7A4F">
        <w:rPr>
          <w:rFonts w:ascii="Century Schoolbook" w:hAnsi="Century Schoolbook"/>
          <w:szCs w:val="28"/>
        </w:rPr>
        <w:t>October 19</w:t>
      </w:r>
      <w:r w:rsidRPr="0045295C">
        <w:rPr>
          <w:rFonts w:ascii="Century Schoolbook" w:hAnsi="Century Schoolbook"/>
          <w:szCs w:val="28"/>
        </w:rPr>
        <w:t>, 20</w:t>
      </w:r>
      <w:r w:rsidR="005E0CBE">
        <w:rPr>
          <w:rFonts w:ascii="Century Schoolbook" w:hAnsi="Century Schoolbook"/>
          <w:szCs w:val="28"/>
        </w:rPr>
        <w:t>21</w:t>
      </w:r>
      <w:r w:rsidRPr="0045295C">
        <w:rPr>
          <w:rFonts w:ascii="Century Schoolbook" w:hAnsi="Century Schoolbook"/>
          <w:szCs w:val="28"/>
        </w:rPr>
        <w:t>, which will send notice of such filing to all registered CM/ECF users.</w:t>
      </w:r>
    </w:p>
    <w:p w:rsidR="00207E64" w:rsidRPr="0045295C" w:rsidRDefault="00207E64" w:rsidP="00207E64">
      <w:pPr>
        <w:rPr>
          <w:rFonts w:ascii="Century Schoolbook" w:hAnsi="Century Schoolbook"/>
          <w:szCs w:val="28"/>
          <w:u w:val="single"/>
        </w:rPr>
      </w:pPr>
      <w:r w:rsidRPr="0045295C" w:rsidDel="00767ECF">
        <w:rPr>
          <w:rFonts w:ascii="Century Schoolbook" w:hAnsi="Century Schoolbook"/>
          <w:szCs w:val="28"/>
        </w:rPr>
        <w:t xml:space="preserve"> </w:t>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u w:val="single"/>
        </w:rPr>
        <w:t>s/ Drew C. Ensign                    </w:t>
      </w:r>
    </w:p>
    <w:p w:rsidR="00207E64" w:rsidRPr="0045295C" w:rsidRDefault="00207E64" w:rsidP="00207E64">
      <w:pPr>
        <w:rPr>
          <w:rFonts w:ascii="Century Schoolbook" w:hAnsi="Century Schoolbook"/>
          <w:vanish/>
        </w:rPr>
      </w:pP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r>
      <w:r w:rsidRPr="0045295C">
        <w:rPr>
          <w:rFonts w:ascii="Century Schoolbook" w:hAnsi="Century Schoolbook"/>
          <w:szCs w:val="28"/>
        </w:rPr>
        <w:tab/>
        <w:t xml:space="preserve">Drew C. Ensign </w:t>
      </w:r>
    </w:p>
    <w:p w:rsidR="00694F9E" w:rsidRPr="0045295C" w:rsidRDefault="00694F9E" w:rsidP="00694F9E">
      <w:pPr>
        <w:keepNext/>
        <w:keepLines/>
        <w:spacing w:line="480" w:lineRule="auto"/>
        <w:ind w:firstLine="720"/>
        <w:rPr>
          <w:rFonts w:ascii="Century Schoolbook" w:hAnsi="Century Schoolbook"/>
          <w:szCs w:val="28"/>
        </w:rPr>
      </w:pPr>
    </w:p>
    <w:p w:rsidR="00694F9E" w:rsidRPr="000D3967" w:rsidRDefault="00694F9E" w:rsidP="00212400">
      <w:pPr>
        <w:keepNext/>
        <w:keepLines/>
        <w:spacing w:line="480" w:lineRule="auto"/>
        <w:ind w:firstLine="720"/>
        <w:rPr>
          <w:szCs w:val="28"/>
        </w:rPr>
      </w:pPr>
    </w:p>
    <w:bookmarkEnd w:id="11"/>
    <w:bookmarkEnd w:id="12"/>
    <w:p w:rsidR="00694F9E" w:rsidRPr="00653179" w:rsidRDefault="00F9727A" w:rsidP="00B034E9">
      <w:pPr>
        <w:keepNext/>
        <w:keepLines/>
        <w:tabs>
          <w:tab w:val="left" w:pos="4800"/>
        </w:tabs>
        <w:spacing w:line="480" w:lineRule="auto"/>
        <w:rPr>
          <w:szCs w:val="28"/>
        </w:rPr>
      </w:pPr>
      <w:r w:rsidRPr="00653179">
        <w:rPr>
          <w:szCs w:val="28"/>
        </w:rPr>
        <w:tab/>
      </w:r>
    </w:p>
    <w:bookmarkEnd w:id="9"/>
    <w:bookmarkEnd w:id="10"/>
    <w:p w:rsidR="00B43C33" w:rsidRDefault="00B43C33" w:rsidP="00506C94"/>
    <w:p w:rsidR="00B43C33" w:rsidRDefault="00B43C33" w:rsidP="00B43C33">
      <w:pPr>
        <w:ind w:left="360"/>
      </w:pPr>
    </w:p>
    <w:p w:rsidR="00B43C33" w:rsidRDefault="00B43C33" w:rsidP="00B43C33">
      <w:pPr>
        <w:ind w:left="360"/>
      </w:pPr>
    </w:p>
    <w:p w:rsidR="00B43C33" w:rsidRPr="00653179" w:rsidRDefault="00B43C33" w:rsidP="00B43C33">
      <w:pPr>
        <w:ind w:left="360"/>
      </w:pPr>
    </w:p>
    <w:p w:rsidR="00882DB5" w:rsidRPr="00653179" w:rsidRDefault="00882DB5" w:rsidP="00882DB5">
      <w:pPr>
        <w:rPr>
          <w:vanish/>
        </w:rPr>
      </w:pPr>
    </w:p>
    <w:sectPr w:rsidR="00882DB5" w:rsidRPr="00653179" w:rsidSect="0061097E">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4B3" w:rsidRDefault="00AC24B3">
      <w:r>
        <w:separator/>
      </w:r>
    </w:p>
    <w:p w:rsidR="00AC24B3" w:rsidRDefault="00AC24B3"/>
  </w:endnote>
  <w:endnote w:type="continuationSeparator" w:id="0">
    <w:p w:rsidR="00AC24B3" w:rsidRDefault="00AC24B3">
      <w:r>
        <w:continuationSeparator/>
      </w:r>
    </w:p>
    <w:p w:rsidR="00AC24B3" w:rsidRDefault="00AC2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ndida Std">
    <w:altName w:val="Cambria"/>
    <w:charset w:val="00"/>
    <w:family w:val="roman"/>
    <w:notTrueType/>
    <w:pitch w:val="variable"/>
    <w:sig w:usb0="800000AF" w:usb1="4000204A"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ewCenturySchlbk-Italic">
    <w:charset w:val="00"/>
    <w:family w:val="roman"/>
    <w:pitch w:val="default"/>
    <w:sig w:usb0="00000003" w:usb1="00000000" w:usb2="00000000" w:usb3="00000000" w:csb0="00000001" w:csb1="00000000"/>
  </w:font>
  <w:font w:name="NewCenturySchlbk-Roman2">
    <w:charset w:val="00"/>
    <w:family w:val="roman"/>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F42" w:rsidRDefault="00A72F42" w:rsidP="00B43C33">
    <w:pPr>
      <w:pStyle w:val="Footer"/>
      <w:framePr w:wrap="none" w:vAnchor="text" w:hAnchor="margin" w:xAlign="center"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end"/>
    </w:r>
  </w:p>
  <w:p w:rsidR="00A72F42" w:rsidRDefault="00A72F42">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F42" w:rsidRPr="0061097E" w:rsidRDefault="00A72F42" w:rsidP="007F2D13">
    <w:pPr>
      <w:pStyle w:val="Footer"/>
      <w:framePr w:wrap="around" w:vAnchor="text" w:hAnchor="margin" w:xAlign="center" w:y="1"/>
      <w:rPr>
        <w:rStyle w:val="PageNumber"/>
        <w:noProof/>
        <w:szCs w:val="28"/>
      </w:rPr>
    </w:pPr>
    <w:r w:rsidRPr="0061097E">
      <w:rPr>
        <w:rStyle w:val="PageNumber"/>
        <w:noProof/>
        <w:szCs w:val="28"/>
      </w:rPr>
      <w:fldChar w:fldCharType="begin"/>
    </w:r>
    <w:r w:rsidRPr="0061097E">
      <w:rPr>
        <w:rStyle w:val="PageNumber"/>
        <w:noProof/>
        <w:szCs w:val="28"/>
      </w:rPr>
      <w:instrText xml:space="preserve">PAGE  </w:instrText>
    </w:r>
    <w:r w:rsidRPr="0061097E">
      <w:rPr>
        <w:rStyle w:val="PageNumber"/>
        <w:noProof/>
        <w:szCs w:val="28"/>
      </w:rPr>
      <w:fldChar w:fldCharType="separate"/>
    </w:r>
    <w:r>
      <w:rPr>
        <w:rStyle w:val="PageNumber"/>
        <w:noProof/>
        <w:szCs w:val="28"/>
      </w:rPr>
      <w:t>x</w:t>
    </w:r>
    <w:r w:rsidRPr="0061097E">
      <w:rPr>
        <w:rStyle w:val="PageNumber"/>
        <w:noProof/>
        <w:szCs w:val="28"/>
      </w:rPr>
      <w:fldChar w:fldCharType="end"/>
    </w:r>
  </w:p>
  <w:p w:rsidR="00A72F42" w:rsidRDefault="00A72F4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F42" w:rsidRDefault="00A72F42" w:rsidP="0061097E">
    <w:pPr>
      <w:pStyle w:val="Footer"/>
      <w:jc w:val="cen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F42" w:rsidRPr="005E0CBE" w:rsidRDefault="00A72F42" w:rsidP="00B43C33">
    <w:pPr>
      <w:pStyle w:val="Footer"/>
      <w:jc w:val="center"/>
      <w:rPr>
        <w:rFonts w:ascii="Century Schoolbook" w:hAnsi="Century Schoolbook"/>
      </w:rPr>
    </w:pPr>
    <w:r w:rsidRPr="005E0CBE">
      <w:rPr>
        <w:rStyle w:val="PageNumber"/>
        <w:rFonts w:ascii="Century Schoolbook" w:hAnsi="Century Schoolbook"/>
      </w:rPr>
      <w:fldChar w:fldCharType="begin"/>
    </w:r>
    <w:r w:rsidRPr="005E0CBE">
      <w:rPr>
        <w:rStyle w:val="PageNumber"/>
        <w:rFonts w:ascii="Century Schoolbook" w:hAnsi="Century Schoolbook"/>
      </w:rPr>
      <w:instrText xml:space="preserve"> PAGE </w:instrText>
    </w:r>
    <w:r w:rsidRPr="005E0CBE">
      <w:rPr>
        <w:rStyle w:val="PageNumber"/>
        <w:rFonts w:ascii="Century Schoolbook" w:hAnsi="Century Schoolbook"/>
      </w:rPr>
      <w:fldChar w:fldCharType="separate"/>
    </w:r>
    <w:r w:rsidR="008160DF">
      <w:rPr>
        <w:rStyle w:val="PageNumber"/>
        <w:rFonts w:ascii="Century Schoolbook" w:hAnsi="Century Schoolbook"/>
        <w:noProof/>
      </w:rPr>
      <w:t>14</w:t>
    </w:r>
    <w:r w:rsidRPr="005E0CBE">
      <w:rPr>
        <w:rStyle w:val="PageNumber"/>
        <w:rFonts w:ascii="Century Schoolbook" w:hAnsi="Century Schoolbook"/>
      </w:rPr>
      <w:fldChar w:fldCharType="end"/>
    </w:r>
  </w:p>
  <w:p w:rsidR="00A72F42" w:rsidRPr="005E0CBE" w:rsidRDefault="00A72F42">
    <w:pPr>
      <w:rPr>
        <w:rFonts w:ascii="Century Schoolbook" w:hAnsi="Century School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F42" w:rsidRDefault="00A72F42" w:rsidP="008420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160DF">
      <w:rPr>
        <w:rStyle w:val="PageNumber"/>
        <w:noProof/>
      </w:rPr>
      <w:t>1</w:t>
    </w:r>
    <w:r>
      <w:rPr>
        <w:rStyle w:val="PageNumber"/>
      </w:rPr>
      <w:fldChar w:fldCharType="end"/>
    </w:r>
  </w:p>
  <w:p w:rsidR="00A72F42" w:rsidRDefault="00A72F42" w:rsidP="00B43C33">
    <w:pPr>
      <w:tabs>
        <w:tab w:val="left" w:pos="6389"/>
      </w:tabs>
      <w:rPr>
        <w:noProof/>
      </w:rPr>
    </w:pPr>
    <w:r>
      <w:rPr>
        <w:noProof/>
      </w:rPr>
      <w:tab/>
    </w:r>
  </w:p>
  <w:p w:rsidR="00A72F42" w:rsidRDefault="00A72F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4B3" w:rsidRDefault="00AC24B3">
      <w:r>
        <w:separator/>
      </w:r>
    </w:p>
    <w:p w:rsidR="00AC24B3" w:rsidRDefault="00AC24B3"/>
  </w:footnote>
  <w:footnote w:type="continuationSeparator" w:id="0">
    <w:p w:rsidR="00AC24B3" w:rsidRDefault="00AC24B3">
      <w:r>
        <w:continuationSeparator/>
      </w:r>
    </w:p>
    <w:p w:rsidR="00AC24B3" w:rsidRDefault="00AC2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A4F" w:rsidRDefault="009A7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A4F" w:rsidRDefault="009A7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A4F" w:rsidRDefault="009A7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54D2"/>
    <w:multiLevelType w:val="multilevel"/>
    <w:tmpl w:val="D0283992"/>
    <w:lvl w:ilvl="0">
      <w:start w:val="1"/>
      <w:numFmt w:val="upperRoman"/>
      <w:pStyle w:val="Heading1"/>
      <w:lvlText w:val="%1."/>
      <w:lvlJc w:val="left"/>
      <w:pPr>
        <w:tabs>
          <w:tab w:val="num" w:pos="720"/>
        </w:tabs>
        <w:ind w:left="720" w:hanging="720"/>
      </w:pPr>
      <w:rPr>
        <w:rFonts w:ascii="Century Schoolbook" w:hAnsi="Century Schoolbook" w:cs="Times New Roman" w:hint="default"/>
        <w:b/>
        <w:i w:val="0"/>
        <w:caps/>
        <w:smallCaps w:val="0"/>
        <w:color w:val="000000"/>
        <w:sz w:val="28"/>
        <w:szCs w:val="28"/>
        <w:u w:val="none"/>
      </w:rPr>
    </w:lvl>
    <w:lvl w:ilvl="1">
      <w:start w:val="1"/>
      <w:numFmt w:val="upperLetter"/>
      <w:pStyle w:val="Heading2"/>
      <w:lvlText w:val="%2."/>
      <w:lvlJc w:val="left"/>
      <w:pPr>
        <w:tabs>
          <w:tab w:val="num" w:pos="1440"/>
        </w:tabs>
        <w:ind w:left="1440" w:hanging="720"/>
      </w:pPr>
      <w:rPr>
        <w:rFonts w:ascii="Times New Roman" w:hAnsi="Times New Roman" w:cs="Times New Roman" w:hint="default"/>
        <w:b/>
        <w:i w:val="0"/>
        <w:caps w:val="0"/>
        <w:smallCaps w:val="0"/>
        <w:color w:val="000000"/>
        <w:sz w:val="28"/>
        <w:szCs w:val="28"/>
        <w:u w:val="none"/>
      </w:rPr>
    </w:lvl>
    <w:lvl w:ilvl="2">
      <w:start w:val="1"/>
      <w:numFmt w:val="decimal"/>
      <w:pStyle w:val="Heading3"/>
      <w:lvlText w:val="%3."/>
      <w:lvlJc w:val="left"/>
      <w:pPr>
        <w:tabs>
          <w:tab w:val="num" w:pos="2160"/>
        </w:tabs>
        <w:ind w:left="2160" w:hanging="720"/>
      </w:pPr>
      <w:rPr>
        <w:rFonts w:ascii="Times New Roman" w:hAnsi="Times New Roman" w:cs="Times New Roman" w:hint="default"/>
        <w:b/>
        <w:i w:val="0"/>
        <w:caps w:val="0"/>
        <w:color w:val="000000"/>
        <w:sz w:val="28"/>
        <w:szCs w:val="28"/>
        <w:u w:val="none"/>
      </w:rPr>
    </w:lvl>
    <w:lvl w:ilvl="3">
      <w:start w:val="1"/>
      <w:numFmt w:val="lowerLetter"/>
      <w:pStyle w:val="Heading4"/>
      <w:lvlText w:val="%4."/>
      <w:lvlJc w:val="left"/>
      <w:pPr>
        <w:tabs>
          <w:tab w:val="num" w:pos="2880"/>
        </w:tabs>
        <w:ind w:left="2880" w:hanging="720"/>
      </w:pPr>
      <w:rPr>
        <w:rFonts w:ascii="Times New Roman" w:hAnsi="Times New Roman" w:cs="Times New Roman" w:hint="default"/>
        <w:b/>
        <w:i w:val="0"/>
        <w:caps w:val="0"/>
        <w:smallCaps w:val="0"/>
        <w:color w:val="000000"/>
        <w:sz w:val="28"/>
        <w:szCs w:val="28"/>
        <w:u w:val="none"/>
      </w:rPr>
    </w:lvl>
    <w:lvl w:ilvl="4">
      <w:start w:val="1"/>
      <w:numFmt w:val="decimal"/>
      <w:pStyle w:val="Heading5"/>
      <w:lvlText w:val="(%5)"/>
      <w:lvlJc w:val="left"/>
      <w:pPr>
        <w:tabs>
          <w:tab w:val="num" w:pos="3600"/>
        </w:tabs>
        <w:ind w:left="3600" w:hanging="720"/>
      </w:pPr>
      <w:rPr>
        <w:rFonts w:ascii="Candida Std" w:hAnsi="Candida Std"/>
        <w:b w:val="0"/>
        <w:i w:val="0"/>
        <w:caps w:val="0"/>
        <w:color w:val="000000"/>
        <w:sz w:val="24"/>
        <w:u w:val="none"/>
      </w:rPr>
    </w:lvl>
    <w:lvl w:ilvl="5">
      <w:start w:val="1"/>
      <w:numFmt w:val="lowerLetter"/>
      <w:pStyle w:val="Heading6"/>
      <w:lvlText w:val="(%6)"/>
      <w:lvlJc w:val="left"/>
      <w:pPr>
        <w:tabs>
          <w:tab w:val="num" w:pos="4320"/>
        </w:tabs>
        <w:ind w:left="4320" w:hanging="720"/>
      </w:pPr>
      <w:rPr>
        <w:smallCaps w:val="0"/>
        <w:sz w:val="24"/>
      </w:rPr>
    </w:lvl>
    <w:lvl w:ilvl="6">
      <w:start w:val="1"/>
      <w:numFmt w:val="lowerRoman"/>
      <w:pStyle w:val="Heading7"/>
      <w:lvlText w:val="(%7)"/>
      <w:lvlJc w:val="left"/>
      <w:pPr>
        <w:tabs>
          <w:tab w:val="num" w:pos="5040"/>
        </w:tabs>
        <w:ind w:left="5040" w:hanging="720"/>
      </w:pPr>
      <w:rPr>
        <w:rFonts w:ascii="Candida Std" w:hAnsi="Candida Std"/>
        <w:smallCaps w:val="0"/>
        <w:sz w:val="24"/>
      </w:rPr>
    </w:lvl>
    <w:lvl w:ilvl="7">
      <w:start w:val="1"/>
      <w:numFmt w:val="lowerLetter"/>
      <w:pStyle w:val="Heading8"/>
      <w:lvlText w:val="%8)"/>
      <w:lvlJc w:val="left"/>
      <w:pPr>
        <w:tabs>
          <w:tab w:val="num" w:pos="5760"/>
        </w:tabs>
        <w:ind w:left="5760" w:hanging="720"/>
      </w:pPr>
      <w:rPr>
        <w:rFonts w:ascii="Candida Std" w:hAnsi="Candida Std"/>
        <w:caps/>
        <w:smallCaps w:val="0"/>
        <w:sz w:val="24"/>
      </w:rPr>
    </w:lvl>
    <w:lvl w:ilvl="8">
      <w:start w:val="1"/>
      <w:numFmt w:val="lowerRoman"/>
      <w:pStyle w:val="Heading9"/>
      <w:lvlText w:val="%9)"/>
      <w:lvlJc w:val="left"/>
      <w:pPr>
        <w:tabs>
          <w:tab w:val="num" w:pos="6480"/>
        </w:tabs>
        <w:ind w:left="6480" w:hanging="720"/>
      </w:pPr>
      <w:rPr>
        <w:smallCaps w:val="0"/>
      </w:rPr>
    </w:lvl>
  </w:abstractNum>
  <w:abstractNum w:abstractNumId="1" w15:restartNumberingAfterBreak="0">
    <w:nsid w:val="59C94875"/>
    <w:multiLevelType w:val="hybridMultilevel"/>
    <w:tmpl w:val="E4947CC0"/>
    <w:lvl w:ilvl="0">
      <w:start w:val="1"/>
      <w:numFmt w:val="decimal"/>
      <w:pStyle w:val="Style2"/>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5D7F214C"/>
    <w:multiLevelType w:val="hybridMultilevel"/>
    <w:tmpl w:val="43D6BC52"/>
    <w:lvl w:ilvl="0">
      <w:start w:val="1"/>
      <w:numFmt w:val="decimal"/>
      <w:pStyle w:val="Style3"/>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76CD698A"/>
    <w:multiLevelType w:val="hybridMultilevel"/>
    <w:tmpl w:val="60A05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edForWebBugs" w:val="True"/>
    <w:docVar w:name="trailer" w:val="none"/>
    <w:docVar w:name="TrailerFullName" w:val="C:\Users\aprins\Local Data\NRPortbl\DC\APRINS\1807037_12.DOC"/>
    <w:docVar w:name="TrlrDateFlag" w:val="0"/>
    <w:docVar w:name="TrlrDocTitleFlag" w:val="0"/>
    <w:docVar w:name="TrlrDOSFlag" w:val="0"/>
    <w:docVar w:name="TrlrDOSPathFlag" w:val="0"/>
    <w:docVar w:name="TrlrDraftFlag" w:val="1"/>
    <w:docVar w:name="TrlrMatter" w:val="043671-0029"/>
    <w:docVar w:name="TrlrMatterFlag" w:val="1"/>
    <w:docVar w:name="TrlrRedlineFlag" w:val="0"/>
    <w:docVar w:name="TrlrTimeFlag" w:val="0"/>
    <w:docVar w:name="TrlrTypeFlag" w:val="2"/>
  </w:docVars>
  <w:rsids>
    <w:rsidRoot w:val="004C755F"/>
    <w:rsid w:val="000000E2"/>
    <w:rsid w:val="000000F1"/>
    <w:rsid w:val="000006AB"/>
    <w:rsid w:val="00001C9C"/>
    <w:rsid w:val="00002306"/>
    <w:rsid w:val="00002967"/>
    <w:rsid w:val="0000303D"/>
    <w:rsid w:val="0000350F"/>
    <w:rsid w:val="00003994"/>
    <w:rsid w:val="00003996"/>
    <w:rsid w:val="0000403A"/>
    <w:rsid w:val="0000440D"/>
    <w:rsid w:val="0000442B"/>
    <w:rsid w:val="00004539"/>
    <w:rsid w:val="00004A43"/>
    <w:rsid w:val="00005E1B"/>
    <w:rsid w:val="000062AD"/>
    <w:rsid w:val="0000753E"/>
    <w:rsid w:val="00007B2F"/>
    <w:rsid w:val="000102A7"/>
    <w:rsid w:val="00013A11"/>
    <w:rsid w:val="00014898"/>
    <w:rsid w:val="00014FAC"/>
    <w:rsid w:val="000153FF"/>
    <w:rsid w:val="00015BB3"/>
    <w:rsid w:val="00016521"/>
    <w:rsid w:val="00017672"/>
    <w:rsid w:val="00020539"/>
    <w:rsid w:val="00021CC2"/>
    <w:rsid w:val="00022370"/>
    <w:rsid w:val="00022738"/>
    <w:rsid w:val="00023115"/>
    <w:rsid w:val="000233DD"/>
    <w:rsid w:val="000236B9"/>
    <w:rsid w:val="00023C58"/>
    <w:rsid w:val="00023D0D"/>
    <w:rsid w:val="00024180"/>
    <w:rsid w:val="0002425B"/>
    <w:rsid w:val="00024BFF"/>
    <w:rsid w:val="00024C1F"/>
    <w:rsid w:val="00024FAA"/>
    <w:rsid w:val="000252DB"/>
    <w:rsid w:val="000252F2"/>
    <w:rsid w:val="00026BE1"/>
    <w:rsid w:val="000272C4"/>
    <w:rsid w:val="00027457"/>
    <w:rsid w:val="00030D68"/>
    <w:rsid w:val="00031247"/>
    <w:rsid w:val="0003165C"/>
    <w:rsid w:val="00031A0E"/>
    <w:rsid w:val="000325A4"/>
    <w:rsid w:val="00034083"/>
    <w:rsid w:val="00034651"/>
    <w:rsid w:val="000348C6"/>
    <w:rsid w:val="000351F0"/>
    <w:rsid w:val="0003583A"/>
    <w:rsid w:val="000364A3"/>
    <w:rsid w:val="000366B4"/>
    <w:rsid w:val="00036BE0"/>
    <w:rsid w:val="00037220"/>
    <w:rsid w:val="00037845"/>
    <w:rsid w:val="00037D2E"/>
    <w:rsid w:val="00040668"/>
    <w:rsid w:val="00040CA7"/>
    <w:rsid w:val="00040D5A"/>
    <w:rsid w:val="00041BD0"/>
    <w:rsid w:val="00041DC1"/>
    <w:rsid w:val="00043D50"/>
    <w:rsid w:val="00045F6A"/>
    <w:rsid w:val="00046800"/>
    <w:rsid w:val="00046B7D"/>
    <w:rsid w:val="00046D7D"/>
    <w:rsid w:val="00046F72"/>
    <w:rsid w:val="00050CFF"/>
    <w:rsid w:val="0005241F"/>
    <w:rsid w:val="0005243B"/>
    <w:rsid w:val="00052D4A"/>
    <w:rsid w:val="00052D91"/>
    <w:rsid w:val="000536A1"/>
    <w:rsid w:val="00053AE9"/>
    <w:rsid w:val="00054083"/>
    <w:rsid w:val="000546D2"/>
    <w:rsid w:val="00055607"/>
    <w:rsid w:val="00056054"/>
    <w:rsid w:val="000569A8"/>
    <w:rsid w:val="00056FCC"/>
    <w:rsid w:val="000578E3"/>
    <w:rsid w:val="00057D18"/>
    <w:rsid w:val="00057E0C"/>
    <w:rsid w:val="00057FB9"/>
    <w:rsid w:val="0006013B"/>
    <w:rsid w:val="00060394"/>
    <w:rsid w:val="00060C5D"/>
    <w:rsid w:val="00062137"/>
    <w:rsid w:val="00062941"/>
    <w:rsid w:val="00062AD8"/>
    <w:rsid w:val="00063473"/>
    <w:rsid w:val="00064557"/>
    <w:rsid w:val="00065342"/>
    <w:rsid w:val="000656F5"/>
    <w:rsid w:val="00065A39"/>
    <w:rsid w:val="00066161"/>
    <w:rsid w:val="00066558"/>
    <w:rsid w:val="00066ED4"/>
    <w:rsid w:val="00067684"/>
    <w:rsid w:val="00070538"/>
    <w:rsid w:val="00070ADB"/>
    <w:rsid w:val="00072200"/>
    <w:rsid w:val="000728B9"/>
    <w:rsid w:val="00072E10"/>
    <w:rsid w:val="000730F7"/>
    <w:rsid w:val="00074B73"/>
    <w:rsid w:val="000750DA"/>
    <w:rsid w:val="0007557E"/>
    <w:rsid w:val="00075D84"/>
    <w:rsid w:val="00076AB0"/>
    <w:rsid w:val="00076EE2"/>
    <w:rsid w:val="00077673"/>
    <w:rsid w:val="00077C86"/>
    <w:rsid w:val="0008015C"/>
    <w:rsid w:val="00080B17"/>
    <w:rsid w:val="00081A0F"/>
    <w:rsid w:val="00082387"/>
    <w:rsid w:val="00083688"/>
    <w:rsid w:val="000836CC"/>
    <w:rsid w:val="00083897"/>
    <w:rsid w:val="000838A3"/>
    <w:rsid w:val="00084BF3"/>
    <w:rsid w:val="00084D46"/>
    <w:rsid w:val="00084DC0"/>
    <w:rsid w:val="00085D6A"/>
    <w:rsid w:val="00086857"/>
    <w:rsid w:val="00086E20"/>
    <w:rsid w:val="00090159"/>
    <w:rsid w:val="00090B72"/>
    <w:rsid w:val="00090C7F"/>
    <w:rsid w:val="00090CD4"/>
    <w:rsid w:val="00090EA0"/>
    <w:rsid w:val="000910AB"/>
    <w:rsid w:val="00091626"/>
    <w:rsid w:val="00091F09"/>
    <w:rsid w:val="00092529"/>
    <w:rsid w:val="000934DC"/>
    <w:rsid w:val="00093615"/>
    <w:rsid w:val="00093A9A"/>
    <w:rsid w:val="00094391"/>
    <w:rsid w:val="00094905"/>
    <w:rsid w:val="00095B1E"/>
    <w:rsid w:val="00096545"/>
    <w:rsid w:val="00097642"/>
    <w:rsid w:val="000A05D8"/>
    <w:rsid w:val="000A1DF1"/>
    <w:rsid w:val="000A3179"/>
    <w:rsid w:val="000A3A5D"/>
    <w:rsid w:val="000A3F78"/>
    <w:rsid w:val="000A557A"/>
    <w:rsid w:val="000A5A84"/>
    <w:rsid w:val="000A62F6"/>
    <w:rsid w:val="000A6698"/>
    <w:rsid w:val="000A6743"/>
    <w:rsid w:val="000A6A37"/>
    <w:rsid w:val="000A6E45"/>
    <w:rsid w:val="000A735E"/>
    <w:rsid w:val="000A78F3"/>
    <w:rsid w:val="000A7EEF"/>
    <w:rsid w:val="000B007B"/>
    <w:rsid w:val="000B0196"/>
    <w:rsid w:val="000B0285"/>
    <w:rsid w:val="000B06A0"/>
    <w:rsid w:val="000B0CB3"/>
    <w:rsid w:val="000B1915"/>
    <w:rsid w:val="000B1B3F"/>
    <w:rsid w:val="000B1C88"/>
    <w:rsid w:val="000B2B73"/>
    <w:rsid w:val="000B2B7A"/>
    <w:rsid w:val="000B35DC"/>
    <w:rsid w:val="000B3E31"/>
    <w:rsid w:val="000B4099"/>
    <w:rsid w:val="000B7C55"/>
    <w:rsid w:val="000B7E9A"/>
    <w:rsid w:val="000C0024"/>
    <w:rsid w:val="000C075A"/>
    <w:rsid w:val="000C0F49"/>
    <w:rsid w:val="000C1135"/>
    <w:rsid w:val="000C14BA"/>
    <w:rsid w:val="000C15F4"/>
    <w:rsid w:val="000C1C18"/>
    <w:rsid w:val="000C2168"/>
    <w:rsid w:val="000C33A1"/>
    <w:rsid w:val="000C3724"/>
    <w:rsid w:val="000C44E4"/>
    <w:rsid w:val="000C4671"/>
    <w:rsid w:val="000C4774"/>
    <w:rsid w:val="000C6441"/>
    <w:rsid w:val="000C690C"/>
    <w:rsid w:val="000C6C31"/>
    <w:rsid w:val="000C6EEF"/>
    <w:rsid w:val="000C7054"/>
    <w:rsid w:val="000C70D0"/>
    <w:rsid w:val="000C7989"/>
    <w:rsid w:val="000C7C00"/>
    <w:rsid w:val="000C7C56"/>
    <w:rsid w:val="000D0B27"/>
    <w:rsid w:val="000D192B"/>
    <w:rsid w:val="000D1C98"/>
    <w:rsid w:val="000D1EF1"/>
    <w:rsid w:val="000D22F7"/>
    <w:rsid w:val="000D2CD3"/>
    <w:rsid w:val="000D2E8E"/>
    <w:rsid w:val="000D3644"/>
    <w:rsid w:val="000D3967"/>
    <w:rsid w:val="000D3B8F"/>
    <w:rsid w:val="000D5200"/>
    <w:rsid w:val="000D5260"/>
    <w:rsid w:val="000D6268"/>
    <w:rsid w:val="000D637A"/>
    <w:rsid w:val="000D6D04"/>
    <w:rsid w:val="000D71D3"/>
    <w:rsid w:val="000D7244"/>
    <w:rsid w:val="000D756D"/>
    <w:rsid w:val="000D77BE"/>
    <w:rsid w:val="000D79A4"/>
    <w:rsid w:val="000E232C"/>
    <w:rsid w:val="000E2EAF"/>
    <w:rsid w:val="000E3064"/>
    <w:rsid w:val="000E30A3"/>
    <w:rsid w:val="000E30EA"/>
    <w:rsid w:val="000E3DAF"/>
    <w:rsid w:val="000E42DB"/>
    <w:rsid w:val="000E4D03"/>
    <w:rsid w:val="000E4E4C"/>
    <w:rsid w:val="000E4F3D"/>
    <w:rsid w:val="000E5031"/>
    <w:rsid w:val="000E50E4"/>
    <w:rsid w:val="000E52C2"/>
    <w:rsid w:val="000F138C"/>
    <w:rsid w:val="000F1F34"/>
    <w:rsid w:val="000F22B4"/>
    <w:rsid w:val="000F28A8"/>
    <w:rsid w:val="000F3AFA"/>
    <w:rsid w:val="000F3B16"/>
    <w:rsid w:val="000F3D05"/>
    <w:rsid w:val="000F418A"/>
    <w:rsid w:val="000F460A"/>
    <w:rsid w:val="000F4853"/>
    <w:rsid w:val="000F48B3"/>
    <w:rsid w:val="000F4F3B"/>
    <w:rsid w:val="000F50EA"/>
    <w:rsid w:val="000F5E9A"/>
    <w:rsid w:val="000F6009"/>
    <w:rsid w:val="000F6654"/>
    <w:rsid w:val="000F6F57"/>
    <w:rsid w:val="000F72D3"/>
    <w:rsid w:val="00100428"/>
    <w:rsid w:val="001006EA"/>
    <w:rsid w:val="00100703"/>
    <w:rsid w:val="00100D1D"/>
    <w:rsid w:val="00101AAE"/>
    <w:rsid w:val="001027DA"/>
    <w:rsid w:val="00102A1F"/>
    <w:rsid w:val="00102E08"/>
    <w:rsid w:val="001038D8"/>
    <w:rsid w:val="0010414A"/>
    <w:rsid w:val="00104578"/>
    <w:rsid w:val="00104C97"/>
    <w:rsid w:val="00106059"/>
    <w:rsid w:val="001060EB"/>
    <w:rsid w:val="0010764C"/>
    <w:rsid w:val="00107914"/>
    <w:rsid w:val="00107FE5"/>
    <w:rsid w:val="0011063B"/>
    <w:rsid w:val="001109E1"/>
    <w:rsid w:val="0011100F"/>
    <w:rsid w:val="00111478"/>
    <w:rsid w:val="0011194B"/>
    <w:rsid w:val="00111BC4"/>
    <w:rsid w:val="001121D5"/>
    <w:rsid w:val="00112C4E"/>
    <w:rsid w:val="001131A5"/>
    <w:rsid w:val="001137A1"/>
    <w:rsid w:val="00113870"/>
    <w:rsid w:val="00113EF3"/>
    <w:rsid w:val="0011455A"/>
    <w:rsid w:val="001154BA"/>
    <w:rsid w:val="001154E1"/>
    <w:rsid w:val="0011604B"/>
    <w:rsid w:val="0011664F"/>
    <w:rsid w:val="00116AA5"/>
    <w:rsid w:val="00116E74"/>
    <w:rsid w:val="00116FB1"/>
    <w:rsid w:val="0011727C"/>
    <w:rsid w:val="00117691"/>
    <w:rsid w:val="00120620"/>
    <w:rsid w:val="00120ED1"/>
    <w:rsid w:val="001213D1"/>
    <w:rsid w:val="001214D1"/>
    <w:rsid w:val="00121C26"/>
    <w:rsid w:val="001244B2"/>
    <w:rsid w:val="001251B3"/>
    <w:rsid w:val="00126133"/>
    <w:rsid w:val="00126409"/>
    <w:rsid w:val="001274FA"/>
    <w:rsid w:val="0012794A"/>
    <w:rsid w:val="00127E22"/>
    <w:rsid w:val="00127F6F"/>
    <w:rsid w:val="001301F5"/>
    <w:rsid w:val="00130A0F"/>
    <w:rsid w:val="00130B29"/>
    <w:rsid w:val="001322F9"/>
    <w:rsid w:val="001335E8"/>
    <w:rsid w:val="00133876"/>
    <w:rsid w:val="00134335"/>
    <w:rsid w:val="00135D68"/>
    <w:rsid w:val="00135F86"/>
    <w:rsid w:val="00136A2B"/>
    <w:rsid w:val="0013722E"/>
    <w:rsid w:val="00137253"/>
    <w:rsid w:val="0013755D"/>
    <w:rsid w:val="00137885"/>
    <w:rsid w:val="00137BC6"/>
    <w:rsid w:val="00140295"/>
    <w:rsid w:val="00140A96"/>
    <w:rsid w:val="00140AB4"/>
    <w:rsid w:val="00140B9E"/>
    <w:rsid w:val="00140BB2"/>
    <w:rsid w:val="0014119F"/>
    <w:rsid w:val="001413F9"/>
    <w:rsid w:val="00141D03"/>
    <w:rsid w:val="001433CA"/>
    <w:rsid w:val="001436B8"/>
    <w:rsid w:val="001442F7"/>
    <w:rsid w:val="00146B70"/>
    <w:rsid w:val="00146F60"/>
    <w:rsid w:val="0014765D"/>
    <w:rsid w:val="00150614"/>
    <w:rsid w:val="0015126C"/>
    <w:rsid w:val="00151E85"/>
    <w:rsid w:val="001523DC"/>
    <w:rsid w:val="001554C5"/>
    <w:rsid w:val="00155C4C"/>
    <w:rsid w:val="0015653D"/>
    <w:rsid w:val="00156AEB"/>
    <w:rsid w:val="00156F28"/>
    <w:rsid w:val="00157285"/>
    <w:rsid w:val="00157427"/>
    <w:rsid w:val="00157F1E"/>
    <w:rsid w:val="00157F7C"/>
    <w:rsid w:val="00160308"/>
    <w:rsid w:val="00160683"/>
    <w:rsid w:val="00160F70"/>
    <w:rsid w:val="001612C8"/>
    <w:rsid w:val="00163784"/>
    <w:rsid w:val="0016491F"/>
    <w:rsid w:val="00165FCD"/>
    <w:rsid w:val="001666E7"/>
    <w:rsid w:val="0016680A"/>
    <w:rsid w:val="001669F9"/>
    <w:rsid w:val="00166D47"/>
    <w:rsid w:val="00166EF4"/>
    <w:rsid w:val="001676C3"/>
    <w:rsid w:val="00167AB8"/>
    <w:rsid w:val="001709CF"/>
    <w:rsid w:val="00170EFA"/>
    <w:rsid w:val="00170F4B"/>
    <w:rsid w:val="00171D7C"/>
    <w:rsid w:val="0017232A"/>
    <w:rsid w:val="00172986"/>
    <w:rsid w:val="00172FD8"/>
    <w:rsid w:val="0017319C"/>
    <w:rsid w:val="001738E2"/>
    <w:rsid w:val="00173A46"/>
    <w:rsid w:val="00173C3D"/>
    <w:rsid w:val="0017436F"/>
    <w:rsid w:val="00174450"/>
    <w:rsid w:val="0017481A"/>
    <w:rsid w:val="00175162"/>
    <w:rsid w:val="00175748"/>
    <w:rsid w:val="001764F5"/>
    <w:rsid w:val="00176E4C"/>
    <w:rsid w:val="00176F46"/>
    <w:rsid w:val="00177381"/>
    <w:rsid w:val="00177422"/>
    <w:rsid w:val="00177982"/>
    <w:rsid w:val="00177A63"/>
    <w:rsid w:val="001803F6"/>
    <w:rsid w:val="001807E0"/>
    <w:rsid w:val="0018124B"/>
    <w:rsid w:val="00182013"/>
    <w:rsid w:val="00182565"/>
    <w:rsid w:val="00182645"/>
    <w:rsid w:val="001826EE"/>
    <w:rsid w:val="0018309D"/>
    <w:rsid w:val="00183388"/>
    <w:rsid w:val="00183EFB"/>
    <w:rsid w:val="00184D48"/>
    <w:rsid w:val="0018537E"/>
    <w:rsid w:val="0018627D"/>
    <w:rsid w:val="00186AD6"/>
    <w:rsid w:val="00187148"/>
    <w:rsid w:val="00190413"/>
    <w:rsid w:val="00190590"/>
    <w:rsid w:val="00190CAA"/>
    <w:rsid w:val="0019238B"/>
    <w:rsid w:val="00192487"/>
    <w:rsid w:val="00192C63"/>
    <w:rsid w:val="00192E9D"/>
    <w:rsid w:val="00193069"/>
    <w:rsid w:val="0019385A"/>
    <w:rsid w:val="0019398D"/>
    <w:rsid w:val="00193A4E"/>
    <w:rsid w:val="00193B3C"/>
    <w:rsid w:val="00194994"/>
    <w:rsid w:val="00194D06"/>
    <w:rsid w:val="00194F42"/>
    <w:rsid w:val="00195194"/>
    <w:rsid w:val="00195587"/>
    <w:rsid w:val="001963B1"/>
    <w:rsid w:val="0019645C"/>
    <w:rsid w:val="00196490"/>
    <w:rsid w:val="00196F98"/>
    <w:rsid w:val="00197C49"/>
    <w:rsid w:val="001A0DCA"/>
    <w:rsid w:val="001A0F84"/>
    <w:rsid w:val="001A1086"/>
    <w:rsid w:val="001A15D2"/>
    <w:rsid w:val="001A1A19"/>
    <w:rsid w:val="001A1B6A"/>
    <w:rsid w:val="001A1D5B"/>
    <w:rsid w:val="001A32E6"/>
    <w:rsid w:val="001A36B9"/>
    <w:rsid w:val="001A40A5"/>
    <w:rsid w:val="001A415B"/>
    <w:rsid w:val="001A42E9"/>
    <w:rsid w:val="001A54E0"/>
    <w:rsid w:val="001A5D2E"/>
    <w:rsid w:val="001A5D43"/>
    <w:rsid w:val="001A5E91"/>
    <w:rsid w:val="001A679F"/>
    <w:rsid w:val="001A68F2"/>
    <w:rsid w:val="001A76C0"/>
    <w:rsid w:val="001A772C"/>
    <w:rsid w:val="001A78B6"/>
    <w:rsid w:val="001A7C11"/>
    <w:rsid w:val="001B06F1"/>
    <w:rsid w:val="001B0B13"/>
    <w:rsid w:val="001B0CEB"/>
    <w:rsid w:val="001B1D1C"/>
    <w:rsid w:val="001B260D"/>
    <w:rsid w:val="001B289C"/>
    <w:rsid w:val="001B3131"/>
    <w:rsid w:val="001B3EEE"/>
    <w:rsid w:val="001B4472"/>
    <w:rsid w:val="001B45A5"/>
    <w:rsid w:val="001B50C4"/>
    <w:rsid w:val="001B50FB"/>
    <w:rsid w:val="001B577D"/>
    <w:rsid w:val="001B5FF3"/>
    <w:rsid w:val="001B6202"/>
    <w:rsid w:val="001B67AD"/>
    <w:rsid w:val="001B6BD3"/>
    <w:rsid w:val="001B71AB"/>
    <w:rsid w:val="001B747D"/>
    <w:rsid w:val="001B788A"/>
    <w:rsid w:val="001C038B"/>
    <w:rsid w:val="001C055A"/>
    <w:rsid w:val="001C0827"/>
    <w:rsid w:val="001C0B5F"/>
    <w:rsid w:val="001C1205"/>
    <w:rsid w:val="001C24E0"/>
    <w:rsid w:val="001C25E1"/>
    <w:rsid w:val="001C34BE"/>
    <w:rsid w:val="001C3789"/>
    <w:rsid w:val="001C4529"/>
    <w:rsid w:val="001C47E1"/>
    <w:rsid w:val="001C5D10"/>
    <w:rsid w:val="001C6263"/>
    <w:rsid w:val="001C6987"/>
    <w:rsid w:val="001C727F"/>
    <w:rsid w:val="001C78BA"/>
    <w:rsid w:val="001C7E0E"/>
    <w:rsid w:val="001C7F7C"/>
    <w:rsid w:val="001D130A"/>
    <w:rsid w:val="001D130D"/>
    <w:rsid w:val="001D1726"/>
    <w:rsid w:val="001D1D84"/>
    <w:rsid w:val="001D2586"/>
    <w:rsid w:val="001D27BE"/>
    <w:rsid w:val="001D290E"/>
    <w:rsid w:val="001D3232"/>
    <w:rsid w:val="001D41A8"/>
    <w:rsid w:val="001D474F"/>
    <w:rsid w:val="001D47BB"/>
    <w:rsid w:val="001D4D5E"/>
    <w:rsid w:val="001D4E85"/>
    <w:rsid w:val="001D50B2"/>
    <w:rsid w:val="001D5593"/>
    <w:rsid w:val="001D5F55"/>
    <w:rsid w:val="001D640C"/>
    <w:rsid w:val="001D6BB0"/>
    <w:rsid w:val="001D7B45"/>
    <w:rsid w:val="001D7B66"/>
    <w:rsid w:val="001D7E79"/>
    <w:rsid w:val="001D7FD0"/>
    <w:rsid w:val="001E0511"/>
    <w:rsid w:val="001E0BF0"/>
    <w:rsid w:val="001E1087"/>
    <w:rsid w:val="001E2538"/>
    <w:rsid w:val="001E338C"/>
    <w:rsid w:val="001E378E"/>
    <w:rsid w:val="001E37EF"/>
    <w:rsid w:val="001E3DC4"/>
    <w:rsid w:val="001E4CF0"/>
    <w:rsid w:val="001E4F66"/>
    <w:rsid w:val="001E5107"/>
    <w:rsid w:val="001E5731"/>
    <w:rsid w:val="001E5C2F"/>
    <w:rsid w:val="001E5DE0"/>
    <w:rsid w:val="001E6427"/>
    <w:rsid w:val="001E6A78"/>
    <w:rsid w:val="001E705E"/>
    <w:rsid w:val="001E781A"/>
    <w:rsid w:val="001F0612"/>
    <w:rsid w:val="001F0C85"/>
    <w:rsid w:val="001F0E7E"/>
    <w:rsid w:val="001F11D8"/>
    <w:rsid w:val="001F1C7C"/>
    <w:rsid w:val="001F2261"/>
    <w:rsid w:val="001F2F2D"/>
    <w:rsid w:val="001F3325"/>
    <w:rsid w:val="001F365D"/>
    <w:rsid w:val="001F3746"/>
    <w:rsid w:val="001F3801"/>
    <w:rsid w:val="001F3B4D"/>
    <w:rsid w:val="001F5550"/>
    <w:rsid w:val="001F562B"/>
    <w:rsid w:val="001F6476"/>
    <w:rsid w:val="0020002B"/>
    <w:rsid w:val="0020042D"/>
    <w:rsid w:val="00200764"/>
    <w:rsid w:val="002007D6"/>
    <w:rsid w:val="00200940"/>
    <w:rsid w:val="00201154"/>
    <w:rsid w:val="00202834"/>
    <w:rsid w:val="00202966"/>
    <w:rsid w:val="0020413E"/>
    <w:rsid w:val="00204615"/>
    <w:rsid w:val="002049CF"/>
    <w:rsid w:val="002051F9"/>
    <w:rsid w:val="002058AB"/>
    <w:rsid w:val="0020596E"/>
    <w:rsid w:val="002061FB"/>
    <w:rsid w:val="0020654A"/>
    <w:rsid w:val="00206D8D"/>
    <w:rsid w:val="0020730B"/>
    <w:rsid w:val="00207501"/>
    <w:rsid w:val="00207671"/>
    <w:rsid w:val="00207C5B"/>
    <w:rsid w:val="00207D92"/>
    <w:rsid w:val="00207E64"/>
    <w:rsid w:val="00207F4D"/>
    <w:rsid w:val="00210828"/>
    <w:rsid w:val="00210CA6"/>
    <w:rsid w:val="00211418"/>
    <w:rsid w:val="00211C72"/>
    <w:rsid w:val="00211DCA"/>
    <w:rsid w:val="00212400"/>
    <w:rsid w:val="00212BF4"/>
    <w:rsid w:val="0021313E"/>
    <w:rsid w:val="002133C1"/>
    <w:rsid w:val="00214178"/>
    <w:rsid w:val="002142AC"/>
    <w:rsid w:val="002145A3"/>
    <w:rsid w:val="0021470D"/>
    <w:rsid w:val="00214D11"/>
    <w:rsid w:val="00214E87"/>
    <w:rsid w:val="002152B5"/>
    <w:rsid w:val="0021629E"/>
    <w:rsid w:val="00217405"/>
    <w:rsid w:val="00217466"/>
    <w:rsid w:val="0021777E"/>
    <w:rsid w:val="00217C87"/>
    <w:rsid w:val="00220852"/>
    <w:rsid w:val="00220B40"/>
    <w:rsid w:val="00220D57"/>
    <w:rsid w:val="00221C00"/>
    <w:rsid w:val="002229BE"/>
    <w:rsid w:val="00222A00"/>
    <w:rsid w:val="00222F82"/>
    <w:rsid w:val="00223D9F"/>
    <w:rsid w:val="00224077"/>
    <w:rsid w:val="0022420C"/>
    <w:rsid w:val="002252E8"/>
    <w:rsid w:val="002267FA"/>
    <w:rsid w:val="00226938"/>
    <w:rsid w:val="0022742E"/>
    <w:rsid w:val="00227523"/>
    <w:rsid w:val="00227769"/>
    <w:rsid w:val="00227996"/>
    <w:rsid w:val="00227C38"/>
    <w:rsid w:val="00230019"/>
    <w:rsid w:val="00230DB4"/>
    <w:rsid w:val="00230EF4"/>
    <w:rsid w:val="00231643"/>
    <w:rsid w:val="00231712"/>
    <w:rsid w:val="00232718"/>
    <w:rsid w:val="00232816"/>
    <w:rsid w:val="002351D7"/>
    <w:rsid w:val="00235FFE"/>
    <w:rsid w:val="002362D1"/>
    <w:rsid w:val="00236BCC"/>
    <w:rsid w:val="00237605"/>
    <w:rsid w:val="002378CE"/>
    <w:rsid w:val="00237F41"/>
    <w:rsid w:val="00240094"/>
    <w:rsid w:val="00240ADF"/>
    <w:rsid w:val="00240D7C"/>
    <w:rsid w:val="00240F8E"/>
    <w:rsid w:val="002420CE"/>
    <w:rsid w:val="00242BFC"/>
    <w:rsid w:val="0024383A"/>
    <w:rsid w:val="002448D4"/>
    <w:rsid w:val="00245FC5"/>
    <w:rsid w:val="00246119"/>
    <w:rsid w:val="00246146"/>
    <w:rsid w:val="00246D7F"/>
    <w:rsid w:val="00246FCA"/>
    <w:rsid w:val="002470B5"/>
    <w:rsid w:val="00247B95"/>
    <w:rsid w:val="00247BCA"/>
    <w:rsid w:val="00247CB5"/>
    <w:rsid w:val="00247D33"/>
    <w:rsid w:val="00247D3A"/>
    <w:rsid w:val="00247F78"/>
    <w:rsid w:val="00251131"/>
    <w:rsid w:val="00251B07"/>
    <w:rsid w:val="002520E8"/>
    <w:rsid w:val="00252544"/>
    <w:rsid w:val="00252883"/>
    <w:rsid w:val="00252E44"/>
    <w:rsid w:val="00253D94"/>
    <w:rsid w:val="00254391"/>
    <w:rsid w:val="002545A3"/>
    <w:rsid w:val="002552E7"/>
    <w:rsid w:val="00256084"/>
    <w:rsid w:val="00256483"/>
    <w:rsid w:val="002565F7"/>
    <w:rsid w:val="002571B0"/>
    <w:rsid w:val="00257417"/>
    <w:rsid w:val="00257D92"/>
    <w:rsid w:val="00257FE5"/>
    <w:rsid w:val="00260705"/>
    <w:rsid w:val="00260FB2"/>
    <w:rsid w:val="002611FC"/>
    <w:rsid w:val="002613EA"/>
    <w:rsid w:val="002618AA"/>
    <w:rsid w:val="00262321"/>
    <w:rsid w:val="002626D3"/>
    <w:rsid w:val="002627C5"/>
    <w:rsid w:val="002652D7"/>
    <w:rsid w:val="002658CA"/>
    <w:rsid w:val="00266440"/>
    <w:rsid w:val="00266B21"/>
    <w:rsid w:val="002673F1"/>
    <w:rsid w:val="00270810"/>
    <w:rsid w:val="00270E33"/>
    <w:rsid w:val="00270EB9"/>
    <w:rsid w:val="00271D95"/>
    <w:rsid w:val="00271F7A"/>
    <w:rsid w:val="0027249C"/>
    <w:rsid w:val="00273647"/>
    <w:rsid w:val="00274210"/>
    <w:rsid w:val="00274FFE"/>
    <w:rsid w:val="00275403"/>
    <w:rsid w:val="002764CD"/>
    <w:rsid w:val="00276D9E"/>
    <w:rsid w:val="00277566"/>
    <w:rsid w:val="0027782D"/>
    <w:rsid w:val="00280297"/>
    <w:rsid w:val="00280ACE"/>
    <w:rsid w:val="00280F86"/>
    <w:rsid w:val="00281151"/>
    <w:rsid w:val="0028172A"/>
    <w:rsid w:val="002819FD"/>
    <w:rsid w:val="0028252A"/>
    <w:rsid w:val="00282939"/>
    <w:rsid w:val="00282F0B"/>
    <w:rsid w:val="0028386D"/>
    <w:rsid w:val="002844EB"/>
    <w:rsid w:val="00284748"/>
    <w:rsid w:val="00284FEB"/>
    <w:rsid w:val="00285719"/>
    <w:rsid w:val="002857AC"/>
    <w:rsid w:val="002869A8"/>
    <w:rsid w:val="00287339"/>
    <w:rsid w:val="002902EF"/>
    <w:rsid w:val="002903BB"/>
    <w:rsid w:val="00291B4D"/>
    <w:rsid w:val="00291C02"/>
    <w:rsid w:val="00291EFA"/>
    <w:rsid w:val="002923E5"/>
    <w:rsid w:val="002928E5"/>
    <w:rsid w:val="002933CA"/>
    <w:rsid w:val="00294718"/>
    <w:rsid w:val="0029502B"/>
    <w:rsid w:val="0029579A"/>
    <w:rsid w:val="00295B89"/>
    <w:rsid w:val="00295EF0"/>
    <w:rsid w:val="00295F49"/>
    <w:rsid w:val="00296D63"/>
    <w:rsid w:val="00297A94"/>
    <w:rsid w:val="002A0261"/>
    <w:rsid w:val="002A02FA"/>
    <w:rsid w:val="002A1598"/>
    <w:rsid w:val="002A161D"/>
    <w:rsid w:val="002A17C4"/>
    <w:rsid w:val="002A1BFD"/>
    <w:rsid w:val="002A2C72"/>
    <w:rsid w:val="002A46E6"/>
    <w:rsid w:val="002A4964"/>
    <w:rsid w:val="002A4DEC"/>
    <w:rsid w:val="002A5838"/>
    <w:rsid w:val="002A5891"/>
    <w:rsid w:val="002A6508"/>
    <w:rsid w:val="002A69E0"/>
    <w:rsid w:val="002A6BE8"/>
    <w:rsid w:val="002B01A3"/>
    <w:rsid w:val="002B0C1B"/>
    <w:rsid w:val="002B27B4"/>
    <w:rsid w:val="002B294C"/>
    <w:rsid w:val="002B31FF"/>
    <w:rsid w:val="002B32C0"/>
    <w:rsid w:val="002B36FD"/>
    <w:rsid w:val="002B3E78"/>
    <w:rsid w:val="002B3EA0"/>
    <w:rsid w:val="002B4863"/>
    <w:rsid w:val="002B493C"/>
    <w:rsid w:val="002B6516"/>
    <w:rsid w:val="002B66BE"/>
    <w:rsid w:val="002B6DF8"/>
    <w:rsid w:val="002B7106"/>
    <w:rsid w:val="002B7998"/>
    <w:rsid w:val="002C05CF"/>
    <w:rsid w:val="002C0C77"/>
    <w:rsid w:val="002C0FDD"/>
    <w:rsid w:val="002C0FDE"/>
    <w:rsid w:val="002C20AE"/>
    <w:rsid w:val="002C2702"/>
    <w:rsid w:val="002C3925"/>
    <w:rsid w:val="002C4BB2"/>
    <w:rsid w:val="002C4CC9"/>
    <w:rsid w:val="002C5074"/>
    <w:rsid w:val="002C5AEF"/>
    <w:rsid w:val="002C6732"/>
    <w:rsid w:val="002C79F9"/>
    <w:rsid w:val="002D019E"/>
    <w:rsid w:val="002D2131"/>
    <w:rsid w:val="002D25B7"/>
    <w:rsid w:val="002D2871"/>
    <w:rsid w:val="002D28C5"/>
    <w:rsid w:val="002D2F53"/>
    <w:rsid w:val="002D2FC5"/>
    <w:rsid w:val="002D3173"/>
    <w:rsid w:val="002D3629"/>
    <w:rsid w:val="002D3850"/>
    <w:rsid w:val="002D3CF4"/>
    <w:rsid w:val="002D3EAA"/>
    <w:rsid w:val="002D3F46"/>
    <w:rsid w:val="002D4769"/>
    <w:rsid w:val="002D4A84"/>
    <w:rsid w:val="002D543F"/>
    <w:rsid w:val="002D5AEA"/>
    <w:rsid w:val="002D5D71"/>
    <w:rsid w:val="002D5ED9"/>
    <w:rsid w:val="002D64BE"/>
    <w:rsid w:val="002D70E3"/>
    <w:rsid w:val="002D79BC"/>
    <w:rsid w:val="002E0BF5"/>
    <w:rsid w:val="002E0D31"/>
    <w:rsid w:val="002E2331"/>
    <w:rsid w:val="002E24C8"/>
    <w:rsid w:val="002E289D"/>
    <w:rsid w:val="002E2B0B"/>
    <w:rsid w:val="002E2B41"/>
    <w:rsid w:val="002E31EC"/>
    <w:rsid w:val="002E3729"/>
    <w:rsid w:val="002E39D1"/>
    <w:rsid w:val="002E3A1B"/>
    <w:rsid w:val="002E3BB4"/>
    <w:rsid w:val="002E3E24"/>
    <w:rsid w:val="002E46BC"/>
    <w:rsid w:val="002E56C6"/>
    <w:rsid w:val="002E578F"/>
    <w:rsid w:val="002E58DD"/>
    <w:rsid w:val="002E5D08"/>
    <w:rsid w:val="002E5DEE"/>
    <w:rsid w:val="002E61F3"/>
    <w:rsid w:val="002E6229"/>
    <w:rsid w:val="002E6324"/>
    <w:rsid w:val="002E66C6"/>
    <w:rsid w:val="002E6F59"/>
    <w:rsid w:val="002E7543"/>
    <w:rsid w:val="002F1757"/>
    <w:rsid w:val="002F1CBB"/>
    <w:rsid w:val="002F20E9"/>
    <w:rsid w:val="002F28C6"/>
    <w:rsid w:val="002F3305"/>
    <w:rsid w:val="002F4012"/>
    <w:rsid w:val="002F431B"/>
    <w:rsid w:val="002F5004"/>
    <w:rsid w:val="002F50B4"/>
    <w:rsid w:val="002F5341"/>
    <w:rsid w:val="002F62DB"/>
    <w:rsid w:val="002F65DE"/>
    <w:rsid w:val="002F68D7"/>
    <w:rsid w:val="002F6BC2"/>
    <w:rsid w:val="002F7367"/>
    <w:rsid w:val="002F75D8"/>
    <w:rsid w:val="002F7997"/>
    <w:rsid w:val="002F7A68"/>
    <w:rsid w:val="003001F0"/>
    <w:rsid w:val="0030100B"/>
    <w:rsid w:val="0030119D"/>
    <w:rsid w:val="00302387"/>
    <w:rsid w:val="00302394"/>
    <w:rsid w:val="003032AA"/>
    <w:rsid w:val="003032D7"/>
    <w:rsid w:val="00303600"/>
    <w:rsid w:val="003041CE"/>
    <w:rsid w:val="00304FB7"/>
    <w:rsid w:val="00305F6C"/>
    <w:rsid w:val="00306203"/>
    <w:rsid w:val="00306BC0"/>
    <w:rsid w:val="00306E91"/>
    <w:rsid w:val="0030748F"/>
    <w:rsid w:val="00307ADE"/>
    <w:rsid w:val="00307DCC"/>
    <w:rsid w:val="003116BB"/>
    <w:rsid w:val="00312172"/>
    <w:rsid w:val="003128BD"/>
    <w:rsid w:val="003128EC"/>
    <w:rsid w:val="003139EA"/>
    <w:rsid w:val="00313AE0"/>
    <w:rsid w:val="00314A0D"/>
    <w:rsid w:val="00314E04"/>
    <w:rsid w:val="00315482"/>
    <w:rsid w:val="00315551"/>
    <w:rsid w:val="00315B19"/>
    <w:rsid w:val="00317564"/>
    <w:rsid w:val="00317A38"/>
    <w:rsid w:val="00320221"/>
    <w:rsid w:val="00320BBB"/>
    <w:rsid w:val="0032124A"/>
    <w:rsid w:val="003215B4"/>
    <w:rsid w:val="00322404"/>
    <w:rsid w:val="00322C1D"/>
    <w:rsid w:val="003235B3"/>
    <w:rsid w:val="00323FC1"/>
    <w:rsid w:val="00324C0E"/>
    <w:rsid w:val="0032539F"/>
    <w:rsid w:val="00325F34"/>
    <w:rsid w:val="0032655A"/>
    <w:rsid w:val="003267D3"/>
    <w:rsid w:val="0032682E"/>
    <w:rsid w:val="0032688D"/>
    <w:rsid w:val="003270BA"/>
    <w:rsid w:val="003276F5"/>
    <w:rsid w:val="00327C19"/>
    <w:rsid w:val="003304DA"/>
    <w:rsid w:val="00330BEE"/>
    <w:rsid w:val="00330CB2"/>
    <w:rsid w:val="00331155"/>
    <w:rsid w:val="003311AE"/>
    <w:rsid w:val="003325A2"/>
    <w:rsid w:val="003326E3"/>
    <w:rsid w:val="00332C42"/>
    <w:rsid w:val="00332F7B"/>
    <w:rsid w:val="0033358F"/>
    <w:rsid w:val="0033364C"/>
    <w:rsid w:val="00334103"/>
    <w:rsid w:val="003341F6"/>
    <w:rsid w:val="00334D54"/>
    <w:rsid w:val="0033531F"/>
    <w:rsid w:val="00337133"/>
    <w:rsid w:val="00337895"/>
    <w:rsid w:val="00337D3F"/>
    <w:rsid w:val="00340D91"/>
    <w:rsid w:val="003410C4"/>
    <w:rsid w:val="003413ED"/>
    <w:rsid w:val="00341ED2"/>
    <w:rsid w:val="003424E6"/>
    <w:rsid w:val="0034295F"/>
    <w:rsid w:val="00343590"/>
    <w:rsid w:val="00343975"/>
    <w:rsid w:val="0034422F"/>
    <w:rsid w:val="0034445E"/>
    <w:rsid w:val="003447D3"/>
    <w:rsid w:val="00345272"/>
    <w:rsid w:val="00345FB2"/>
    <w:rsid w:val="00346501"/>
    <w:rsid w:val="00347ED4"/>
    <w:rsid w:val="0035033E"/>
    <w:rsid w:val="00350C7A"/>
    <w:rsid w:val="00351D20"/>
    <w:rsid w:val="003523AF"/>
    <w:rsid w:val="00352A05"/>
    <w:rsid w:val="00352D3B"/>
    <w:rsid w:val="003531EC"/>
    <w:rsid w:val="00353810"/>
    <w:rsid w:val="003543D0"/>
    <w:rsid w:val="00354B6F"/>
    <w:rsid w:val="003555D7"/>
    <w:rsid w:val="00355AA2"/>
    <w:rsid w:val="00355C99"/>
    <w:rsid w:val="00356408"/>
    <w:rsid w:val="00356784"/>
    <w:rsid w:val="0035678C"/>
    <w:rsid w:val="00356EE2"/>
    <w:rsid w:val="00357098"/>
    <w:rsid w:val="00357172"/>
    <w:rsid w:val="003573CD"/>
    <w:rsid w:val="00361593"/>
    <w:rsid w:val="003621C3"/>
    <w:rsid w:val="00362455"/>
    <w:rsid w:val="0036264A"/>
    <w:rsid w:val="0036297D"/>
    <w:rsid w:val="00362AE2"/>
    <w:rsid w:val="0036379E"/>
    <w:rsid w:val="0036390D"/>
    <w:rsid w:val="00363C4C"/>
    <w:rsid w:val="003644AA"/>
    <w:rsid w:val="00364888"/>
    <w:rsid w:val="00365378"/>
    <w:rsid w:val="00365A0D"/>
    <w:rsid w:val="00366AFB"/>
    <w:rsid w:val="00367208"/>
    <w:rsid w:val="00370187"/>
    <w:rsid w:val="0037022C"/>
    <w:rsid w:val="00371634"/>
    <w:rsid w:val="00371D4A"/>
    <w:rsid w:val="00372EEC"/>
    <w:rsid w:val="00373019"/>
    <w:rsid w:val="00373318"/>
    <w:rsid w:val="003735AE"/>
    <w:rsid w:val="003735D8"/>
    <w:rsid w:val="0037368A"/>
    <w:rsid w:val="003737C4"/>
    <w:rsid w:val="00374024"/>
    <w:rsid w:val="00374C5E"/>
    <w:rsid w:val="0037533E"/>
    <w:rsid w:val="00375C5E"/>
    <w:rsid w:val="00375E74"/>
    <w:rsid w:val="00376883"/>
    <w:rsid w:val="00377089"/>
    <w:rsid w:val="003772FE"/>
    <w:rsid w:val="003800DE"/>
    <w:rsid w:val="003806DA"/>
    <w:rsid w:val="00380BBC"/>
    <w:rsid w:val="0038186F"/>
    <w:rsid w:val="003818BC"/>
    <w:rsid w:val="00381A70"/>
    <w:rsid w:val="00381A76"/>
    <w:rsid w:val="00382679"/>
    <w:rsid w:val="003833F9"/>
    <w:rsid w:val="0038389E"/>
    <w:rsid w:val="0038484C"/>
    <w:rsid w:val="00385236"/>
    <w:rsid w:val="00386178"/>
    <w:rsid w:val="003861F0"/>
    <w:rsid w:val="0039079C"/>
    <w:rsid w:val="00392F6D"/>
    <w:rsid w:val="00393C68"/>
    <w:rsid w:val="003953BE"/>
    <w:rsid w:val="0039581E"/>
    <w:rsid w:val="0039594B"/>
    <w:rsid w:val="00395D3F"/>
    <w:rsid w:val="00396271"/>
    <w:rsid w:val="00396390"/>
    <w:rsid w:val="00396689"/>
    <w:rsid w:val="003972BF"/>
    <w:rsid w:val="003975A9"/>
    <w:rsid w:val="003A02C5"/>
    <w:rsid w:val="003A052E"/>
    <w:rsid w:val="003A07EA"/>
    <w:rsid w:val="003A093D"/>
    <w:rsid w:val="003A11EF"/>
    <w:rsid w:val="003A12EA"/>
    <w:rsid w:val="003A1406"/>
    <w:rsid w:val="003A2075"/>
    <w:rsid w:val="003A2DDA"/>
    <w:rsid w:val="003A5098"/>
    <w:rsid w:val="003A5EE0"/>
    <w:rsid w:val="003A67F8"/>
    <w:rsid w:val="003A68E0"/>
    <w:rsid w:val="003A69B1"/>
    <w:rsid w:val="003A751B"/>
    <w:rsid w:val="003A7843"/>
    <w:rsid w:val="003B0FF4"/>
    <w:rsid w:val="003B143C"/>
    <w:rsid w:val="003B1E21"/>
    <w:rsid w:val="003B1E85"/>
    <w:rsid w:val="003B2398"/>
    <w:rsid w:val="003B2F5E"/>
    <w:rsid w:val="003B2FA0"/>
    <w:rsid w:val="003B3054"/>
    <w:rsid w:val="003B3655"/>
    <w:rsid w:val="003B42B3"/>
    <w:rsid w:val="003B4F92"/>
    <w:rsid w:val="003B5CB6"/>
    <w:rsid w:val="003B603B"/>
    <w:rsid w:val="003B60D1"/>
    <w:rsid w:val="003B6568"/>
    <w:rsid w:val="003B7081"/>
    <w:rsid w:val="003B7F55"/>
    <w:rsid w:val="003C01C7"/>
    <w:rsid w:val="003C09B9"/>
    <w:rsid w:val="003C0B5F"/>
    <w:rsid w:val="003C0CA1"/>
    <w:rsid w:val="003C152B"/>
    <w:rsid w:val="003C15A5"/>
    <w:rsid w:val="003C1804"/>
    <w:rsid w:val="003C202A"/>
    <w:rsid w:val="003C2271"/>
    <w:rsid w:val="003C2AF0"/>
    <w:rsid w:val="003C46B6"/>
    <w:rsid w:val="003C58E8"/>
    <w:rsid w:val="003C5AAA"/>
    <w:rsid w:val="003D002C"/>
    <w:rsid w:val="003D02F3"/>
    <w:rsid w:val="003D0F87"/>
    <w:rsid w:val="003D1520"/>
    <w:rsid w:val="003D1943"/>
    <w:rsid w:val="003D1DD3"/>
    <w:rsid w:val="003D2076"/>
    <w:rsid w:val="003D2113"/>
    <w:rsid w:val="003D358C"/>
    <w:rsid w:val="003D39FF"/>
    <w:rsid w:val="003D3CC6"/>
    <w:rsid w:val="003D4C5F"/>
    <w:rsid w:val="003D5766"/>
    <w:rsid w:val="003D5D1C"/>
    <w:rsid w:val="003D6186"/>
    <w:rsid w:val="003D61DB"/>
    <w:rsid w:val="003D671B"/>
    <w:rsid w:val="003D6DC6"/>
    <w:rsid w:val="003D74A9"/>
    <w:rsid w:val="003E0C0D"/>
    <w:rsid w:val="003E0E11"/>
    <w:rsid w:val="003E0FC4"/>
    <w:rsid w:val="003E180A"/>
    <w:rsid w:val="003E2103"/>
    <w:rsid w:val="003E3167"/>
    <w:rsid w:val="003E354D"/>
    <w:rsid w:val="003E35E6"/>
    <w:rsid w:val="003E3796"/>
    <w:rsid w:val="003E3AF8"/>
    <w:rsid w:val="003E3E56"/>
    <w:rsid w:val="003E4926"/>
    <w:rsid w:val="003E5624"/>
    <w:rsid w:val="003E6652"/>
    <w:rsid w:val="003F00C3"/>
    <w:rsid w:val="003F05E7"/>
    <w:rsid w:val="003F08BB"/>
    <w:rsid w:val="003F1BB4"/>
    <w:rsid w:val="003F1F8A"/>
    <w:rsid w:val="003F260C"/>
    <w:rsid w:val="003F26B8"/>
    <w:rsid w:val="003F40E4"/>
    <w:rsid w:val="003F452D"/>
    <w:rsid w:val="003F48BA"/>
    <w:rsid w:val="003F48E2"/>
    <w:rsid w:val="003F5ACD"/>
    <w:rsid w:val="003F5BC7"/>
    <w:rsid w:val="003F6143"/>
    <w:rsid w:val="003F62A7"/>
    <w:rsid w:val="003F6BD1"/>
    <w:rsid w:val="003F6BF8"/>
    <w:rsid w:val="003F6DFA"/>
    <w:rsid w:val="003F72EE"/>
    <w:rsid w:val="003F7CE3"/>
    <w:rsid w:val="0040021F"/>
    <w:rsid w:val="00401C97"/>
    <w:rsid w:val="004027AF"/>
    <w:rsid w:val="0040287B"/>
    <w:rsid w:val="00402A9E"/>
    <w:rsid w:val="00402CD9"/>
    <w:rsid w:val="00403407"/>
    <w:rsid w:val="004038D7"/>
    <w:rsid w:val="00403DA5"/>
    <w:rsid w:val="00405172"/>
    <w:rsid w:val="0040565E"/>
    <w:rsid w:val="00405729"/>
    <w:rsid w:val="00405DB5"/>
    <w:rsid w:val="00405FCF"/>
    <w:rsid w:val="00406331"/>
    <w:rsid w:val="00406DEF"/>
    <w:rsid w:val="00407265"/>
    <w:rsid w:val="004074C4"/>
    <w:rsid w:val="0040769C"/>
    <w:rsid w:val="004104C1"/>
    <w:rsid w:val="00411162"/>
    <w:rsid w:val="00412F0F"/>
    <w:rsid w:val="004131AE"/>
    <w:rsid w:val="00413577"/>
    <w:rsid w:val="0041383F"/>
    <w:rsid w:val="00413DB1"/>
    <w:rsid w:val="00413DB6"/>
    <w:rsid w:val="00413DD9"/>
    <w:rsid w:val="00414081"/>
    <w:rsid w:val="00414631"/>
    <w:rsid w:val="00414A70"/>
    <w:rsid w:val="00414EB8"/>
    <w:rsid w:val="004154C3"/>
    <w:rsid w:val="0041620F"/>
    <w:rsid w:val="00416DE0"/>
    <w:rsid w:val="00417342"/>
    <w:rsid w:val="00417A02"/>
    <w:rsid w:val="00417AC0"/>
    <w:rsid w:val="00417CCE"/>
    <w:rsid w:val="00417CE4"/>
    <w:rsid w:val="0042001B"/>
    <w:rsid w:val="00420800"/>
    <w:rsid w:val="00420BBB"/>
    <w:rsid w:val="00421E3A"/>
    <w:rsid w:val="004223BC"/>
    <w:rsid w:val="00422B21"/>
    <w:rsid w:val="00422F1B"/>
    <w:rsid w:val="0042387C"/>
    <w:rsid w:val="00423B56"/>
    <w:rsid w:val="00423F95"/>
    <w:rsid w:val="00424572"/>
    <w:rsid w:val="00424B9E"/>
    <w:rsid w:val="00424D4B"/>
    <w:rsid w:val="00426473"/>
    <w:rsid w:val="00426813"/>
    <w:rsid w:val="004269B7"/>
    <w:rsid w:val="00426BE8"/>
    <w:rsid w:val="00430117"/>
    <w:rsid w:val="00430889"/>
    <w:rsid w:val="00430A1E"/>
    <w:rsid w:val="00430BC9"/>
    <w:rsid w:val="004314E2"/>
    <w:rsid w:val="00431527"/>
    <w:rsid w:val="004318A9"/>
    <w:rsid w:val="00431F77"/>
    <w:rsid w:val="004321F4"/>
    <w:rsid w:val="00432849"/>
    <w:rsid w:val="00433D3B"/>
    <w:rsid w:val="00433FA2"/>
    <w:rsid w:val="00434009"/>
    <w:rsid w:val="00434F95"/>
    <w:rsid w:val="00435445"/>
    <w:rsid w:val="00435526"/>
    <w:rsid w:val="004356F0"/>
    <w:rsid w:val="00436128"/>
    <w:rsid w:val="00437180"/>
    <w:rsid w:val="00440C14"/>
    <w:rsid w:val="00441677"/>
    <w:rsid w:val="00441AB2"/>
    <w:rsid w:val="004427D6"/>
    <w:rsid w:val="00442B72"/>
    <w:rsid w:val="00443D39"/>
    <w:rsid w:val="00444C0E"/>
    <w:rsid w:val="00444D4B"/>
    <w:rsid w:val="004452B5"/>
    <w:rsid w:val="00445432"/>
    <w:rsid w:val="0044573F"/>
    <w:rsid w:val="00445BDC"/>
    <w:rsid w:val="00445D0A"/>
    <w:rsid w:val="00446169"/>
    <w:rsid w:val="00446253"/>
    <w:rsid w:val="00446F07"/>
    <w:rsid w:val="00447020"/>
    <w:rsid w:val="0044718E"/>
    <w:rsid w:val="004477EC"/>
    <w:rsid w:val="004479DC"/>
    <w:rsid w:val="00450B1F"/>
    <w:rsid w:val="00450F75"/>
    <w:rsid w:val="00451A45"/>
    <w:rsid w:val="0045295C"/>
    <w:rsid w:val="00452F6D"/>
    <w:rsid w:val="0045426C"/>
    <w:rsid w:val="00455124"/>
    <w:rsid w:val="00455F4E"/>
    <w:rsid w:val="004573D4"/>
    <w:rsid w:val="00457FE4"/>
    <w:rsid w:val="004609AF"/>
    <w:rsid w:val="00460D0F"/>
    <w:rsid w:val="00461203"/>
    <w:rsid w:val="00461221"/>
    <w:rsid w:val="00461610"/>
    <w:rsid w:val="00461BAE"/>
    <w:rsid w:val="00461C64"/>
    <w:rsid w:val="00462040"/>
    <w:rsid w:val="004620B8"/>
    <w:rsid w:val="00462185"/>
    <w:rsid w:val="00462A38"/>
    <w:rsid w:val="00462BAF"/>
    <w:rsid w:val="004633BC"/>
    <w:rsid w:val="00463435"/>
    <w:rsid w:val="00463C5C"/>
    <w:rsid w:val="0046408F"/>
    <w:rsid w:val="00464286"/>
    <w:rsid w:val="00464579"/>
    <w:rsid w:val="00464640"/>
    <w:rsid w:val="00464774"/>
    <w:rsid w:val="00464BB6"/>
    <w:rsid w:val="00464F56"/>
    <w:rsid w:val="0046503B"/>
    <w:rsid w:val="00465243"/>
    <w:rsid w:val="00465278"/>
    <w:rsid w:val="00465DFC"/>
    <w:rsid w:val="004668C2"/>
    <w:rsid w:val="004675F5"/>
    <w:rsid w:val="00467775"/>
    <w:rsid w:val="00467EAE"/>
    <w:rsid w:val="00470351"/>
    <w:rsid w:val="00470E99"/>
    <w:rsid w:val="00471525"/>
    <w:rsid w:val="0047189B"/>
    <w:rsid w:val="00471CBA"/>
    <w:rsid w:val="0047219B"/>
    <w:rsid w:val="004722B3"/>
    <w:rsid w:val="00472338"/>
    <w:rsid w:val="00472356"/>
    <w:rsid w:val="00472C84"/>
    <w:rsid w:val="00472E19"/>
    <w:rsid w:val="00473090"/>
    <w:rsid w:val="00473129"/>
    <w:rsid w:val="00473D3A"/>
    <w:rsid w:val="00474994"/>
    <w:rsid w:val="00475561"/>
    <w:rsid w:val="00475CEB"/>
    <w:rsid w:val="00476D1E"/>
    <w:rsid w:val="00477025"/>
    <w:rsid w:val="004771F5"/>
    <w:rsid w:val="004808E2"/>
    <w:rsid w:val="00480C62"/>
    <w:rsid w:val="004818F9"/>
    <w:rsid w:val="00481A07"/>
    <w:rsid w:val="00481FD0"/>
    <w:rsid w:val="00482447"/>
    <w:rsid w:val="0048321A"/>
    <w:rsid w:val="00483580"/>
    <w:rsid w:val="004841F7"/>
    <w:rsid w:val="00484A5D"/>
    <w:rsid w:val="0048506D"/>
    <w:rsid w:val="0048543C"/>
    <w:rsid w:val="004854A8"/>
    <w:rsid w:val="004872B6"/>
    <w:rsid w:val="004874C8"/>
    <w:rsid w:val="00487525"/>
    <w:rsid w:val="004900C8"/>
    <w:rsid w:val="00490506"/>
    <w:rsid w:val="00490723"/>
    <w:rsid w:val="004913DA"/>
    <w:rsid w:val="00491F0B"/>
    <w:rsid w:val="00492789"/>
    <w:rsid w:val="004928CE"/>
    <w:rsid w:val="0049318A"/>
    <w:rsid w:val="0049329A"/>
    <w:rsid w:val="00493707"/>
    <w:rsid w:val="00493F3A"/>
    <w:rsid w:val="004942B1"/>
    <w:rsid w:val="004946B6"/>
    <w:rsid w:val="00496911"/>
    <w:rsid w:val="00497BCF"/>
    <w:rsid w:val="004A0C92"/>
    <w:rsid w:val="004A182D"/>
    <w:rsid w:val="004A1852"/>
    <w:rsid w:val="004A1C16"/>
    <w:rsid w:val="004A1F62"/>
    <w:rsid w:val="004A2072"/>
    <w:rsid w:val="004A2596"/>
    <w:rsid w:val="004A29F1"/>
    <w:rsid w:val="004A2E91"/>
    <w:rsid w:val="004A302E"/>
    <w:rsid w:val="004A5B09"/>
    <w:rsid w:val="004A5F8A"/>
    <w:rsid w:val="004A6199"/>
    <w:rsid w:val="004A6975"/>
    <w:rsid w:val="004A6BA8"/>
    <w:rsid w:val="004A7041"/>
    <w:rsid w:val="004A713B"/>
    <w:rsid w:val="004A76E2"/>
    <w:rsid w:val="004A77D7"/>
    <w:rsid w:val="004A7A73"/>
    <w:rsid w:val="004A7F93"/>
    <w:rsid w:val="004B1B36"/>
    <w:rsid w:val="004B2B6C"/>
    <w:rsid w:val="004B2E50"/>
    <w:rsid w:val="004B34E1"/>
    <w:rsid w:val="004B353C"/>
    <w:rsid w:val="004B3798"/>
    <w:rsid w:val="004B379E"/>
    <w:rsid w:val="004B38F3"/>
    <w:rsid w:val="004B3AB2"/>
    <w:rsid w:val="004B3D25"/>
    <w:rsid w:val="004B406B"/>
    <w:rsid w:val="004B4359"/>
    <w:rsid w:val="004B4444"/>
    <w:rsid w:val="004B5330"/>
    <w:rsid w:val="004B53D7"/>
    <w:rsid w:val="004B5FB6"/>
    <w:rsid w:val="004B73F8"/>
    <w:rsid w:val="004C01F1"/>
    <w:rsid w:val="004C03DA"/>
    <w:rsid w:val="004C0441"/>
    <w:rsid w:val="004C0A4A"/>
    <w:rsid w:val="004C0F87"/>
    <w:rsid w:val="004C102B"/>
    <w:rsid w:val="004C1555"/>
    <w:rsid w:val="004C1926"/>
    <w:rsid w:val="004C1F35"/>
    <w:rsid w:val="004C20FA"/>
    <w:rsid w:val="004C2D5B"/>
    <w:rsid w:val="004C341B"/>
    <w:rsid w:val="004C3524"/>
    <w:rsid w:val="004C3755"/>
    <w:rsid w:val="004C45F8"/>
    <w:rsid w:val="004C5C4A"/>
    <w:rsid w:val="004C6225"/>
    <w:rsid w:val="004C649B"/>
    <w:rsid w:val="004C69CD"/>
    <w:rsid w:val="004C6E75"/>
    <w:rsid w:val="004C74D8"/>
    <w:rsid w:val="004C755F"/>
    <w:rsid w:val="004C7583"/>
    <w:rsid w:val="004C7765"/>
    <w:rsid w:val="004C78FF"/>
    <w:rsid w:val="004C7CF4"/>
    <w:rsid w:val="004D0A38"/>
    <w:rsid w:val="004D24BF"/>
    <w:rsid w:val="004D28F4"/>
    <w:rsid w:val="004D2D5D"/>
    <w:rsid w:val="004D338B"/>
    <w:rsid w:val="004D3E07"/>
    <w:rsid w:val="004D44A1"/>
    <w:rsid w:val="004D4E45"/>
    <w:rsid w:val="004D4E78"/>
    <w:rsid w:val="004D5381"/>
    <w:rsid w:val="004D5431"/>
    <w:rsid w:val="004D5A77"/>
    <w:rsid w:val="004D6BC5"/>
    <w:rsid w:val="004D6CEC"/>
    <w:rsid w:val="004D6EDF"/>
    <w:rsid w:val="004D7903"/>
    <w:rsid w:val="004E0C6E"/>
    <w:rsid w:val="004E0DC7"/>
    <w:rsid w:val="004E180B"/>
    <w:rsid w:val="004E1A39"/>
    <w:rsid w:val="004E1F4B"/>
    <w:rsid w:val="004E27A1"/>
    <w:rsid w:val="004E335F"/>
    <w:rsid w:val="004E35E8"/>
    <w:rsid w:val="004E52AF"/>
    <w:rsid w:val="004E641A"/>
    <w:rsid w:val="004E6870"/>
    <w:rsid w:val="004E6AA9"/>
    <w:rsid w:val="004E6E70"/>
    <w:rsid w:val="004E6EBC"/>
    <w:rsid w:val="004E7B67"/>
    <w:rsid w:val="004E7BE6"/>
    <w:rsid w:val="004E7F26"/>
    <w:rsid w:val="004F0C20"/>
    <w:rsid w:val="004F2D63"/>
    <w:rsid w:val="004F2E4C"/>
    <w:rsid w:val="004F3696"/>
    <w:rsid w:val="004F4771"/>
    <w:rsid w:val="004F4D17"/>
    <w:rsid w:val="004F58C7"/>
    <w:rsid w:val="004F5DAA"/>
    <w:rsid w:val="004F6A8A"/>
    <w:rsid w:val="004F70F9"/>
    <w:rsid w:val="004F7391"/>
    <w:rsid w:val="004F7B08"/>
    <w:rsid w:val="004F7F34"/>
    <w:rsid w:val="005003B2"/>
    <w:rsid w:val="005005C7"/>
    <w:rsid w:val="00500DF6"/>
    <w:rsid w:val="005012EF"/>
    <w:rsid w:val="00501C39"/>
    <w:rsid w:val="00501D80"/>
    <w:rsid w:val="00501D84"/>
    <w:rsid w:val="00503238"/>
    <w:rsid w:val="00504B91"/>
    <w:rsid w:val="00505E2E"/>
    <w:rsid w:val="005062F9"/>
    <w:rsid w:val="00506561"/>
    <w:rsid w:val="00506A84"/>
    <w:rsid w:val="00506C94"/>
    <w:rsid w:val="00506D02"/>
    <w:rsid w:val="0050749B"/>
    <w:rsid w:val="00507F6E"/>
    <w:rsid w:val="00510559"/>
    <w:rsid w:val="00511BAC"/>
    <w:rsid w:val="00512168"/>
    <w:rsid w:val="005122AD"/>
    <w:rsid w:val="00512CDA"/>
    <w:rsid w:val="00513050"/>
    <w:rsid w:val="005136E6"/>
    <w:rsid w:val="00513A06"/>
    <w:rsid w:val="00514944"/>
    <w:rsid w:val="00514EB0"/>
    <w:rsid w:val="00515FD5"/>
    <w:rsid w:val="00517718"/>
    <w:rsid w:val="005200B4"/>
    <w:rsid w:val="00520BFC"/>
    <w:rsid w:val="00521108"/>
    <w:rsid w:val="00521C70"/>
    <w:rsid w:val="00521F56"/>
    <w:rsid w:val="005226E9"/>
    <w:rsid w:val="00522B13"/>
    <w:rsid w:val="00523A29"/>
    <w:rsid w:val="005241F5"/>
    <w:rsid w:val="00524C08"/>
    <w:rsid w:val="00524D83"/>
    <w:rsid w:val="00525CA4"/>
    <w:rsid w:val="005269EC"/>
    <w:rsid w:val="00527A4A"/>
    <w:rsid w:val="005301C3"/>
    <w:rsid w:val="00530544"/>
    <w:rsid w:val="00531B52"/>
    <w:rsid w:val="00531B62"/>
    <w:rsid w:val="00531DB7"/>
    <w:rsid w:val="00532269"/>
    <w:rsid w:val="00533256"/>
    <w:rsid w:val="0053412E"/>
    <w:rsid w:val="00534228"/>
    <w:rsid w:val="00534AE7"/>
    <w:rsid w:val="00534FA3"/>
    <w:rsid w:val="00535186"/>
    <w:rsid w:val="005351AF"/>
    <w:rsid w:val="005351C9"/>
    <w:rsid w:val="005365A7"/>
    <w:rsid w:val="005378CD"/>
    <w:rsid w:val="005415E9"/>
    <w:rsid w:val="005418C0"/>
    <w:rsid w:val="00541EEF"/>
    <w:rsid w:val="00542435"/>
    <w:rsid w:val="005427D3"/>
    <w:rsid w:val="00543203"/>
    <w:rsid w:val="00543256"/>
    <w:rsid w:val="005434A1"/>
    <w:rsid w:val="0054437F"/>
    <w:rsid w:val="005445D6"/>
    <w:rsid w:val="00544CF1"/>
    <w:rsid w:val="00544DB1"/>
    <w:rsid w:val="005451FF"/>
    <w:rsid w:val="00545962"/>
    <w:rsid w:val="005462A4"/>
    <w:rsid w:val="00546B60"/>
    <w:rsid w:val="00546B82"/>
    <w:rsid w:val="00546C10"/>
    <w:rsid w:val="00550631"/>
    <w:rsid w:val="00550C46"/>
    <w:rsid w:val="00550CD0"/>
    <w:rsid w:val="00550F98"/>
    <w:rsid w:val="0055123F"/>
    <w:rsid w:val="00552947"/>
    <w:rsid w:val="005529FD"/>
    <w:rsid w:val="00552E08"/>
    <w:rsid w:val="00553488"/>
    <w:rsid w:val="00554A0D"/>
    <w:rsid w:val="0055500B"/>
    <w:rsid w:val="00555ACD"/>
    <w:rsid w:val="00556C6F"/>
    <w:rsid w:val="00556DD8"/>
    <w:rsid w:val="00557651"/>
    <w:rsid w:val="00560103"/>
    <w:rsid w:val="0056030F"/>
    <w:rsid w:val="00560593"/>
    <w:rsid w:val="00560656"/>
    <w:rsid w:val="00560B88"/>
    <w:rsid w:val="005610B3"/>
    <w:rsid w:val="005619B0"/>
    <w:rsid w:val="00561F44"/>
    <w:rsid w:val="0056247D"/>
    <w:rsid w:val="00562B5E"/>
    <w:rsid w:val="00564E47"/>
    <w:rsid w:val="00565541"/>
    <w:rsid w:val="00565767"/>
    <w:rsid w:val="00565F35"/>
    <w:rsid w:val="00566166"/>
    <w:rsid w:val="0056620D"/>
    <w:rsid w:val="00566291"/>
    <w:rsid w:val="005664E3"/>
    <w:rsid w:val="005673DC"/>
    <w:rsid w:val="00567882"/>
    <w:rsid w:val="005710AD"/>
    <w:rsid w:val="005712E8"/>
    <w:rsid w:val="00571451"/>
    <w:rsid w:val="00571577"/>
    <w:rsid w:val="00571658"/>
    <w:rsid w:val="0057169A"/>
    <w:rsid w:val="0057268C"/>
    <w:rsid w:val="00573B43"/>
    <w:rsid w:val="00573CA5"/>
    <w:rsid w:val="0057437D"/>
    <w:rsid w:val="00574B1D"/>
    <w:rsid w:val="00575BC4"/>
    <w:rsid w:val="00576124"/>
    <w:rsid w:val="005765D0"/>
    <w:rsid w:val="00576BEF"/>
    <w:rsid w:val="005770F8"/>
    <w:rsid w:val="005776A5"/>
    <w:rsid w:val="00577950"/>
    <w:rsid w:val="00577A57"/>
    <w:rsid w:val="00577D51"/>
    <w:rsid w:val="00580062"/>
    <w:rsid w:val="00580E48"/>
    <w:rsid w:val="00581014"/>
    <w:rsid w:val="0058109C"/>
    <w:rsid w:val="005815E3"/>
    <w:rsid w:val="00582503"/>
    <w:rsid w:val="005826B5"/>
    <w:rsid w:val="00584982"/>
    <w:rsid w:val="00584BDA"/>
    <w:rsid w:val="0058506D"/>
    <w:rsid w:val="0058536A"/>
    <w:rsid w:val="00585D97"/>
    <w:rsid w:val="005860C0"/>
    <w:rsid w:val="00587801"/>
    <w:rsid w:val="00587B4B"/>
    <w:rsid w:val="00590214"/>
    <w:rsid w:val="00590227"/>
    <w:rsid w:val="00591058"/>
    <w:rsid w:val="0059136D"/>
    <w:rsid w:val="0059176E"/>
    <w:rsid w:val="00591C3E"/>
    <w:rsid w:val="00591DC7"/>
    <w:rsid w:val="00592581"/>
    <w:rsid w:val="005929E9"/>
    <w:rsid w:val="00592A28"/>
    <w:rsid w:val="00592C0D"/>
    <w:rsid w:val="0059423A"/>
    <w:rsid w:val="00595834"/>
    <w:rsid w:val="00595B66"/>
    <w:rsid w:val="00596AFB"/>
    <w:rsid w:val="00596B65"/>
    <w:rsid w:val="00596F5A"/>
    <w:rsid w:val="005A03DC"/>
    <w:rsid w:val="005A061E"/>
    <w:rsid w:val="005A0CED"/>
    <w:rsid w:val="005A10E7"/>
    <w:rsid w:val="005A1630"/>
    <w:rsid w:val="005A2518"/>
    <w:rsid w:val="005A2618"/>
    <w:rsid w:val="005A3E77"/>
    <w:rsid w:val="005A40AC"/>
    <w:rsid w:val="005A4861"/>
    <w:rsid w:val="005A49FB"/>
    <w:rsid w:val="005A4CA1"/>
    <w:rsid w:val="005A5CF9"/>
    <w:rsid w:val="005A5D44"/>
    <w:rsid w:val="005A6557"/>
    <w:rsid w:val="005A69D5"/>
    <w:rsid w:val="005A6EBB"/>
    <w:rsid w:val="005A7D5E"/>
    <w:rsid w:val="005B0462"/>
    <w:rsid w:val="005B07C3"/>
    <w:rsid w:val="005B1363"/>
    <w:rsid w:val="005B192A"/>
    <w:rsid w:val="005B20BA"/>
    <w:rsid w:val="005B2104"/>
    <w:rsid w:val="005B3CD4"/>
    <w:rsid w:val="005B4E8A"/>
    <w:rsid w:val="005B516A"/>
    <w:rsid w:val="005B5A54"/>
    <w:rsid w:val="005B5F6C"/>
    <w:rsid w:val="005B5FB5"/>
    <w:rsid w:val="005B6479"/>
    <w:rsid w:val="005B7225"/>
    <w:rsid w:val="005C0684"/>
    <w:rsid w:val="005C07C7"/>
    <w:rsid w:val="005C1123"/>
    <w:rsid w:val="005C15AD"/>
    <w:rsid w:val="005C22D3"/>
    <w:rsid w:val="005C41E8"/>
    <w:rsid w:val="005C4421"/>
    <w:rsid w:val="005C4456"/>
    <w:rsid w:val="005C644A"/>
    <w:rsid w:val="005C6500"/>
    <w:rsid w:val="005C71C7"/>
    <w:rsid w:val="005C797B"/>
    <w:rsid w:val="005C7A5D"/>
    <w:rsid w:val="005C7E33"/>
    <w:rsid w:val="005C7FCA"/>
    <w:rsid w:val="005D02A7"/>
    <w:rsid w:val="005D0360"/>
    <w:rsid w:val="005D1659"/>
    <w:rsid w:val="005D20C6"/>
    <w:rsid w:val="005D24B9"/>
    <w:rsid w:val="005D2A00"/>
    <w:rsid w:val="005D2C52"/>
    <w:rsid w:val="005D314E"/>
    <w:rsid w:val="005D3329"/>
    <w:rsid w:val="005D3EA7"/>
    <w:rsid w:val="005D4447"/>
    <w:rsid w:val="005D5EA2"/>
    <w:rsid w:val="005D607C"/>
    <w:rsid w:val="005D61CA"/>
    <w:rsid w:val="005D665F"/>
    <w:rsid w:val="005D6D9D"/>
    <w:rsid w:val="005D7766"/>
    <w:rsid w:val="005E0743"/>
    <w:rsid w:val="005E0C06"/>
    <w:rsid w:val="005E0CBE"/>
    <w:rsid w:val="005E1DF0"/>
    <w:rsid w:val="005E20A4"/>
    <w:rsid w:val="005E21E3"/>
    <w:rsid w:val="005E29E6"/>
    <w:rsid w:val="005E36AA"/>
    <w:rsid w:val="005E38BD"/>
    <w:rsid w:val="005E48D9"/>
    <w:rsid w:val="005E4EEB"/>
    <w:rsid w:val="005E578B"/>
    <w:rsid w:val="005E5976"/>
    <w:rsid w:val="005E5D4C"/>
    <w:rsid w:val="005E5E7A"/>
    <w:rsid w:val="005E6A00"/>
    <w:rsid w:val="005E702E"/>
    <w:rsid w:val="005E786B"/>
    <w:rsid w:val="005E7CFC"/>
    <w:rsid w:val="005F0653"/>
    <w:rsid w:val="005F11D1"/>
    <w:rsid w:val="005F1AB9"/>
    <w:rsid w:val="005F1DBB"/>
    <w:rsid w:val="005F2155"/>
    <w:rsid w:val="005F2AAD"/>
    <w:rsid w:val="005F395C"/>
    <w:rsid w:val="005F4081"/>
    <w:rsid w:val="005F4103"/>
    <w:rsid w:val="005F4973"/>
    <w:rsid w:val="005F612D"/>
    <w:rsid w:val="005F61B7"/>
    <w:rsid w:val="005F6648"/>
    <w:rsid w:val="005F6EDD"/>
    <w:rsid w:val="005F7959"/>
    <w:rsid w:val="00600489"/>
    <w:rsid w:val="00600590"/>
    <w:rsid w:val="00600FBC"/>
    <w:rsid w:val="006028B5"/>
    <w:rsid w:val="006031A3"/>
    <w:rsid w:val="00603C3A"/>
    <w:rsid w:val="00603CDD"/>
    <w:rsid w:val="00603EC5"/>
    <w:rsid w:val="00604D50"/>
    <w:rsid w:val="006065C8"/>
    <w:rsid w:val="00606951"/>
    <w:rsid w:val="00606C62"/>
    <w:rsid w:val="00607818"/>
    <w:rsid w:val="0061097E"/>
    <w:rsid w:val="00611943"/>
    <w:rsid w:val="0061246A"/>
    <w:rsid w:val="0061436D"/>
    <w:rsid w:val="00614C32"/>
    <w:rsid w:val="00614F03"/>
    <w:rsid w:val="0061553B"/>
    <w:rsid w:val="006155D5"/>
    <w:rsid w:val="00615D9B"/>
    <w:rsid w:val="0061636E"/>
    <w:rsid w:val="00616D10"/>
    <w:rsid w:val="006170FD"/>
    <w:rsid w:val="00617130"/>
    <w:rsid w:val="00617534"/>
    <w:rsid w:val="00617924"/>
    <w:rsid w:val="00617AF0"/>
    <w:rsid w:val="006206A0"/>
    <w:rsid w:val="00620DF9"/>
    <w:rsid w:val="006214B9"/>
    <w:rsid w:val="00622DAA"/>
    <w:rsid w:val="00622FBD"/>
    <w:rsid w:val="006238C5"/>
    <w:rsid w:val="00623BDE"/>
    <w:rsid w:val="00623F2E"/>
    <w:rsid w:val="00624135"/>
    <w:rsid w:val="00624DBA"/>
    <w:rsid w:val="006254A0"/>
    <w:rsid w:val="006257D9"/>
    <w:rsid w:val="00625FD5"/>
    <w:rsid w:val="00626726"/>
    <w:rsid w:val="0062716F"/>
    <w:rsid w:val="0063005F"/>
    <w:rsid w:val="00630666"/>
    <w:rsid w:val="00630FBF"/>
    <w:rsid w:val="00632522"/>
    <w:rsid w:val="0063291F"/>
    <w:rsid w:val="006330B5"/>
    <w:rsid w:val="00633367"/>
    <w:rsid w:val="00633A52"/>
    <w:rsid w:val="00633E89"/>
    <w:rsid w:val="0063401E"/>
    <w:rsid w:val="0063463A"/>
    <w:rsid w:val="00634987"/>
    <w:rsid w:val="006357F6"/>
    <w:rsid w:val="00637320"/>
    <w:rsid w:val="0063742E"/>
    <w:rsid w:val="00637AD1"/>
    <w:rsid w:val="0064060D"/>
    <w:rsid w:val="00640DBE"/>
    <w:rsid w:val="00640F17"/>
    <w:rsid w:val="00640FF4"/>
    <w:rsid w:val="00641570"/>
    <w:rsid w:val="00641A1D"/>
    <w:rsid w:val="00641A79"/>
    <w:rsid w:val="00641F24"/>
    <w:rsid w:val="006426C4"/>
    <w:rsid w:val="00642DA8"/>
    <w:rsid w:val="00643440"/>
    <w:rsid w:val="006449B3"/>
    <w:rsid w:val="00644ABE"/>
    <w:rsid w:val="00644D62"/>
    <w:rsid w:val="0064606F"/>
    <w:rsid w:val="00646421"/>
    <w:rsid w:val="00646594"/>
    <w:rsid w:val="00646BC1"/>
    <w:rsid w:val="00647899"/>
    <w:rsid w:val="00647925"/>
    <w:rsid w:val="00647C4F"/>
    <w:rsid w:val="0065097C"/>
    <w:rsid w:val="00650B77"/>
    <w:rsid w:val="006515D0"/>
    <w:rsid w:val="00652494"/>
    <w:rsid w:val="006528DE"/>
    <w:rsid w:val="00652998"/>
    <w:rsid w:val="00653179"/>
    <w:rsid w:val="006533EA"/>
    <w:rsid w:val="00653742"/>
    <w:rsid w:val="00653F47"/>
    <w:rsid w:val="00654819"/>
    <w:rsid w:val="006549F3"/>
    <w:rsid w:val="00654B5E"/>
    <w:rsid w:val="00654EC2"/>
    <w:rsid w:val="006553A1"/>
    <w:rsid w:val="0065622B"/>
    <w:rsid w:val="00656501"/>
    <w:rsid w:val="006567F0"/>
    <w:rsid w:val="00656D4F"/>
    <w:rsid w:val="00656E92"/>
    <w:rsid w:val="00656EE6"/>
    <w:rsid w:val="006601BC"/>
    <w:rsid w:val="006601E3"/>
    <w:rsid w:val="006608DA"/>
    <w:rsid w:val="00661C22"/>
    <w:rsid w:val="00661C6E"/>
    <w:rsid w:val="00662493"/>
    <w:rsid w:val="00663590"/>
    <w:rsid w:val="00664968"/>
    <w:rsid w:val="00664A79"/>
    <w:rsid w:val="00664A9F"/>
    <w:rsid w:val="00665194"/>
    <w:rsid w:val="00665E6E"/>
    <w:rsid w:val="00665FB2"/>
    <w:rsid w:val="00666A63"/>
    <w:rsid w:val="00666DDC"/>
    <w:rsid w:val="00666E4E"/>
    <w:rsid w:val="00667C79"/>
    <w:rsid w:val="00671362"/>
    <w:rsid w:val="006716E8"/>
    <w:rsid w:val="00671763"/>
    <w:rsid w:val="006721C2"/>
    <w:rsid w:val="00672294"/>
    <w:rsid w:val="00673977"/>
    <w:rsid w:val="00673A91"/>
    <w:rsid w:val="00673C35"/>
    <w:rsid w:val="00674329"/>
    <w:rsid w:val="0067436E"/>
    <w:rsid w:val="0067510B"/>
    <w:rsid w:val="0067512C"/>
    <w:rsid w:val="00675735"/>
    <w:rsid w:val="00675B59"/>
    <w:rsid w:val="00675CBA"/>
    <w:rsid w:val="006766AC"/>
    <w:rsid w:val="00677098"/>
    <w:rsid w:val="006771F8"/>
    <w:rsid w:val="0068005D"/>
    <w:rsid w:val="006803EB"/>
    <w:rsid w:val="00680F1A"/>
    <w:rsid w:val="00680F5E"/>
    <w:rsid w:val="006821C4"/>
    <w:rsid w:val="00682294"/>
    <w:rsid w:val="0068234A"/>
    <w:rsid w:val="0068248D"/>
    <w:rsid w:val="00682536"/>
    <w:rsid w:val="006827A2"/>
    <w:rsid w:val="00682C71"/>
    <w:rsid w:val="00684114"/>
    <w:rsid w:val="00686425"/>
    <w:rsid w:val="00687C7D"/>
    <w:rsid w:val="00687FBC"/>
    <w:rsid w:val="00690978"/>
    <w:rsid w:val="00691FFB"/>
    <w:rsid w:val="0069212C"/>
    <w:rsid w:val="0069312B"/>
    <w:rsid w:val="0069328E"/>
    <w:rsid w:val="006935D6"/>
    <w:rsid w:val="006938B9"/>
    <w:rsid w:val="00693994"/>
    <w:rsid w:val="00693EE3"/>
    <w:rsid w:val="00694018"/>
    <w:rsid w:val="006948BE"/>
    <w:rsid w:val="006948D1"/>
    <w:rsid w:val="00694A51"/>
    <w:rsid w:val="00694A97"/>
    <w:rsid w:val="00694F9E"/>
    <w:rsid w:val="00694FB6"/>
    <w:rsid w:val="006968C2"/>
    <w:rsid w:val="0069734F"/>
    <w:rsid w:val="00697735"/>
    <w:rsid w:val="006A0D8D"/>
    <w:rsid w:val="006A1209"/>
    <w:rsid w:val="006A128F"/>
    <w:rsid w:val="006A1A09"/>
    <w:rsid w:val="006A2A88"/>
    <w:rsid w:val="006A3153"/>
    <w:rsid w:val="006A3948"/>
    <w:rsid w:val="006A3BD9"/>
    <w:rsid w:val="006A5077"/>
    <w:rsid w:val="006A5680"/>
    <w:rsid w:val="006A5961"/>
    <w:rsid w:val="006A5D7C"/>
    <w:rsid w:val="006A61C4"/>
    <w:rsid w:val="006A71E7"/>
    <w:rsid w:val="006A7A86"/>
    <w:rsid w:val="006B020A"/>
    <w:rsid w:val="006B04D4"/>
    <w:rsid w:val="006B0943"/>
    <w:rsid w:val="006B0E1C"/>
    <w:rsid w:val="006B16D6"/>
    <w:rsid w:val="006B2163"/>
    <w:rsid w:val="006B219D"/>
    <w:rsid w:val="006B347A"/>
    <w:rsid w:val="006B44D9"/>
    <w:rsid w:val="006B4914"/>
    <w:rsid w:val="006B4B8F"/>
    <w:rsid w:val="006B4E37"/>
    <w:rsid w:val="006B4E8D"/>
    <w:rsid w:val="006B50E9"/>
    <w:rsid w:val="006B560E"/>
    <w:rsid w:val="006B598F"/>
    <w:rsid w:val="006B6268"/>
    <w:rsid w:val="006B693B"/>
    <w:rsid w:val="006B6A3E"/>
    <w:rsid w:val="006B6F82"/>
    <w:rsid w:val="006B7679"/>
    <w:rsid w:val="006B79F0"/>
    <w:rsid w:val="006B7CE8"/>
    <w:rsid w:val="006B7DB5"/>
    <w:rsid w:val="006C02F8"/>
    <w:rsid w:val="006C071E"/>
    <w:rsid w:val="006C0D8C"/>
    <w:rsid w:val="006C0D9F"/>
    <w:rsid w:val="006C0DC0"/>
    <w:rsid w:val="006C0FDF"/>
    <w:rsid w:val="006C3530"/>
    <w:rsid w:val="006C4090"/>
    <w:rsid w:val="006C44BC"/>
    <w:rsid w:val="006C4600"/>
    <w:rsid w:val="006C48F0"/>
    <w:rsid w:val="006C4A2D"/>
    <w:rsid w:val="006C56C5"/>
    <w:rsid w:val="006C5994"/>
    <w:rsid w:val="006C66F9"/>
    <w:rsid w:val="006C7AD2"/>
    <w:rsid w:val="006D002A"/>
    <w:rsid w:val="006D039E"/>
    <w:rsid w:val="006D08EA"/>
    <w:rsid w:val="006D260E"/>
    <w:rsid w:val="006D29E5"/>
    <w:rsid w:val="006D3789"/>
    <w:rsid w:val="006D3D28"/>
    <w:rsid w:val="006D4B62"/>
    <w:rsid w:val="006D4C47"/>
    <w:rsid w:val="006D5113"/>
    <w:rsid w:val="006D62B8"/>
    <w:rsid w:val="006E02D5"/>
    <w:rsid w:val="006E1AD7"/>
    <w:rsid w:val="006E1EEF"/>
    <w:rsid w:val="006E36B9"/>
    <w:rsid w:val="006E3780"/>
    <w:rsid w:val="006E43AD"/>
    <w:rsid w:val="006E4B27"/>
    <w:rsid w:val="006E5452"/>
    <w:rsid w:val="006E5C19"/>
    <w:rsid w:val="006E62DF"/>
    <w:rsid w:val="006E64A3"/>
    <w:rsid w:val="006E683C"/>
    <w:rsid w:val="006F109A"/>
    <w:rsid w:val="006F15D5"/>
    <w:rsid w:val="006F1B11"/>
    <w:rsid w:val="006F2D51"/>
    <w:rsid w:val="006F3404"/>
    <w:rsid w:val="006F3538"/>
    <w:rsid w:val="006F4CD1"/>
    <w:rsid w:val="006F4E79"/>
    <w:rsid w:val="006F5A8E"/>
    <w:rsid w:val="006F5E04"/>
    <w:rsid w:val="006F64A9"/>
    <w:rsid w:val="006F655F"/>
    <w:rsid w:val="006F671D"/>
    <w:rsid w:val="006F73A4"/>
    <w:rsid w:val="006F7BB8"/>
    <w:rsid w:val="006F7F38"/>
    <w:rsid w:val="007008D9"/>
    <w:rsid w:val="00700EB6"/>
    <w:rsid w:val="007014EB"/>
    <w:rsid w:val="007035CA"/>
    <w:rsid w:val="007036F9"/>
    <w:rsid w:val="00703BF1"/>
    <w:rsid w:val="007045FC"/>
    <w:rsid w:val="007047F7"/>
    <w:rsid w:val="0070600B"/>
    <w:rsid w:val="007062CF"/>
    <w:rsid w:val="00706435"/>
    <w:rsid w:val="007065A7"/>
    <w:rsid w:val="00710DA9"/>
    <w:rsid w:val="00710F53"/>
    <w:rsid w:val="0071125E"/>
    <w:rsid w:val="00711540"/>
    <w:rsid w:val="007120AA"/>
    <w:rsid w:val="00712CD9"/>
    <w:rsid w:val="00712CF6"/>
    <w:rsid w:val="007135FE"/>
    <w:rsid w:val="00713E46"/>
    <w:rsid w:val="00713E82"/>
    <w:rsid w:val="0071429A"/>
    <w:rsid w:val="00714878"/>
    <w:rsid w:val="007152E5"/>
    <w:rsid w:val="00715CE7"/>
    <w:rsid w:val="00715F90"/>
    <w:rsid w:val="007160CA"/>
    <w:rsid w:val="0071659E"/>
    <w:rsid w:val="0071676B"/>
    <w:rsid w:val="00716CBE"/>
    <w:rsid w:val="00717871"/>
    <w:rsid w:val="00717A37"/>
    <w:rsid w:val="00717BA9"/>
    <w:rsid w:val="00717C3E"/>
    <w:rsid w:val="007201A6"/>
    <w:rsid w:val="007205E0"/>
    <w:rsid w:val="007206C0"/>
    <w:rsid w:val="00720C60"/>
    <w:rsid w:val="0072228B"/>
    <w:rsid w:val="0072271A"/>
    <w:rsid w:val="00722A0D"/>
    <w:rsid w:val="0072407F"/>
    <w:rsid w:val="007247DC"/>
    <w:rsid w:val="00724D3E"/>
    <w:rsid w:val="00725055"/>
    <w:rsid w:val="00725156"/>
    <w:rsid w:val="00725A7B"/>
    <w:rsid w:val="00725D7A"/>
    <w:rsid w:val="00725FD7"/>
    <w:rsid w:val="00726EAE"/>
    <w:rsid w:val="007279C8"/>
    <w:rsid w:val="0073184A"/>
    <w:rsid w:val="00731B7D"/>
    <w:rsid w:val="00731C94"/>
    <w:rsid w:val="00731F7F"/>
    <w:rsid w:val="0073208A"/>
    <w:rsid w:val="00732547"/>
    <w:rsid w:val="00732DAD"/>
    <w:rsid w:val="007330AC"/>
    <w:rsid w:val="00733C90"/>
    <w:rsid w:val="007343B9"/>
    <w:rsid w:val="007346E4"/>
    <w:rsid w:val="00735AAB"/>
    <w:rsid w:val="00735FAF"/>
    <w:rsid w:val="007365DA"/>
    <w:rsid w:val="0073720C"/>
    <w:rsid w:val="0074137D"/>
    <w:rsid w:val="0074229B"/>
    <w:rsid w:val="0074346A"/>
    <w:rsid w:val="00743C84"/>
    <w:rsid w:val="00744D1D"/>
    <w:rsid w:val="007453B8"/>
    <w:rsid w:val="00745BEE"/>
    <w:rsid w:val="00746392"/>
    <w:rsid w:val="00746F44"/>
    <w:rsid w:val="007473AF"/>
    <w:rsid w:val="00747C72"/>
    <w:rsid w:val="00750F39"/>
    <w:rsid w:val="00751579"/>
    <w:rsid w:val="0075209E"/>
    <w:rsid w:val="00752270"/>
    <w:rsid w:val="00752918"/>
    <w:rsid w:val="0075355E"/>
    <w:rsid w:val="00753661"/>
    <w:rsid w:val="00753D3E"/>
    <w:rsid w:val="007543EE"/>
    <w:rsid w:val="00755080"/>
    <w:rsid w:val="0075535B"/>
    <w:rsid w:val="00755B08"/>
    <w:rsid w:val="00757581"/>
    <w:rsid w:val="00757709"/>
    <w:rsid w:val="007579F0"/>
    <w:rsid w:val="00757E45"/>
    <w:rsid w:val="00757E49"/>
    <w:rsid w:val="0076029A"/>
    <w:rsid w:val="00760A52"/>
    <w:rsid w:val="00760D03"/>
    <w:rsid w:val="00761018"/>
    <w:rsid w:val="00761436"/>
    <w:rsid w:val="00761D71"/>
    <w:rsid w:val="00761D87"/>
    <w:rsid w:val="007620F9"/>
    <w:rsid w:val="0076332F"/>
    <w:rsid w:val="00763995"/>
    <w:rsid w:val="00763E0F"/>
    <w:rsid w:val="0076432D"/>
    <w:rsid w:val="00764333"/>
    <w:rsid w:val="00764E58"/>
    <w:rsid w:val="007654AB"/>
    <w:rsid w:val="00765863"/>
    <w:rsid w:val="0076607F"/>
    <w:rsid w:val="0076618C"/>
    <w:rsid w:val="007670A6"/>
    <w:rsid w:val="007672F5"/>
    <w:rsid w:val="00767D6A"/>
    <w:rsid w:val="00767ECF"/>
    <w:rsid w:val="007700EF"/>
    <w:rsid w:val="007717A7"/>
    <w:rsid w:val="00771E7D"/>
    <w:rsid w:val="00772A75"/>
    <w:rsid w:val="00772B00"/>
    <w:rsid w:val="00772B7F"/>
    <w:rsid w:val="00772CB1"/>
    <w:rsid w:val="00772EE4"/>
    <w:rsid w:val="007735D1"/>
    <w:rsid w:val="00773D0B"/>
    <w:rsid w:val="0077470C"/>
    <w:rsid w:val="00774DB3"/>
    <w:rsid w:val="00774E27"/>
    <w:rsid w:val="007752E2"/>
    <w:rsid w:val="00775AF9"/>
    <w:rsid w:val="007766A0"/>
    <w:rsid w:val="0077695D"/>
    <w:rsid w:val="00777883"/>
    <w:rsid w:val="00777A97"/>
    <w:rsid w:val="00777AEC"/>
    <w:rsid w:val="0078064A"/>
    <w:rsid w:val="00780908"/>
    <w:rsid w:val="00780D72"/>
    <w:rsid w:val="007811A2"/>
    <w:rsid w:val="00784256"/>
    <w:rsid w:val="0078459F"/>
    <w:rsid w:val="0078487A"/>
    <w:rsid w:val="00784BB0"/>
    <w:rsid w:val="00784E61"/>
    <w:rsid w:val="00785113"/>
    <w:rsid w:val="007864A7"/>
    <w:rsid w:val="00786C3A"/>
    <w:rsid w:val="00786E03"/>
    <w:rsid w:val="0078720B"/>
    <w:rsid w:val="00787FCC"/>
    <w:rsid w:val="007915DE"/>
    <w:rsid w:val="007917E4"/>
    <w:rsid w:val="00791A05"/>
    <w:rsid w:val="00791AB5"/>
    <w:rsid w:val="007933C9"/>
    <w:rsid w:val="007936E6"/>
    <w:rsid w:val="00794382"/>
    <w:rsid w:val="00794A7B"/>
    <w:rsid w:val="00794F49"/>
    <w:rsid w:val="00795B11"/>
    <w:rsid w:val="007978B8"/>
    <w:rsid w:val="00797EEE"/>
    <w:rsid w:val="007A0502"/>
    <w:rsid w:val="007A0B98"/>
    <w:rsid w:val="007A2261"/>
    <w:rsid w:val="007A22A1"/>
    <w:rsid w:val="007A2859"/>
    <w:rsid w:val="007A2A94"/>
    <w:rsid w:val="007A2F5D"/>
    <w:rsid w:val="007A382B"/>
    <w:rsid w:val="007A3ED6"/>
    <w:rsid w:val="007A44EB"/>
    <w:rsid w:val="007A4703"/>
    <w:rsid w:val="007A56B2"/>
    <w:rsid w:val="007A5999"/>
    <w:rsid w:val="007A5A7B"/>
    <w:rsid w:val="007A6A13"/>
    <w:rsid w:val="007A6F80"/>
    <w:rsid w:val="007A745E"/>
    <w:rsid w:val="007A7A9B"/>
    <w:rsid w:val="007A7C8B"/>
    <w:rsid w:val="007B0D77"/>
    <w:rsid w:val="007B1E6E"/>
    <w:rsid w:val="007B261F"/>
    <w:rsid w:val="007B2C0C"/>
    <w:rsid w:val="007B342C"/>
    <w:rsid w:val="007B41AD"/>
    <w:rsid w:val="007B4855"/>
    <w:rsid w:val="007B4B6B"/>
    <w:rsid w:val="007B5230"/>
    <w:rsid w:val="007B5339"/>
    <w:rsid w:val="007B5438"/>
    <w:rsid w:val="007B56C9"/>
    <w:rsid w:val="007B5B82"/>
    <w:rsid w:val="007B6578"/>
    <w:rsid w:val="007B6B5F"/>
    <w:rsid w:val="007B6C5C"/>
    <w:rsid w:val="007B75F5"/>
    <w:rsid w:val="007B7B6C"/>
    <w:rsid w:val="007C0265"/>
    <w:rsid w:val="007C0618"/>
    <w:rsid w:val="007C0976"/>
    <w:rsid w:val="007C0B11"/>
    <w:rsid w:val="007C0BAC"/>
    <w:rsid w:val="007C0BDA"/>
    <w:rsid w:val="007C0FB0"/>
    <w:rsid w:val="007C128E"/>
    <w:rsid w:val="007C16A5"/>
    <w:rsid w:val="007C1B4F"/>
    <w:rsid w:val="007C1F96"/>
    <w:rsid w:val="007C2C48"/>
    <w:rsid w:val="007C319E"/>
    <w:rsid w:val="007C32EE"/>
    <w:rsid w:val="007C3ACF"/>
    <w:rsid w:val="007C3D66"/>
    <w:rsid w:val="007C4675"/>
    <w:rsid w:val="007C565B"/>
    <w:rsid w:val="007C5BA1"/>
    <w:rsid w:val="007C5D66"/>
    <w:rsid w:val="007C6049"/>
    <w:rsid w:val="007C7205"/>
    <w:rsid w:val="007C788B"/>
    <w:rsid w:val="007D0F35"/>
    <w:rsid w:val="007D100C"/>
    <w:rsid w:val="007D13DA"/>
    <w:rsid w:val="007D155B"/>
    <w:rsid w:val="007D1B11"/>
    <w:rsid w:val="007D25E8"/>
    <w:rsid w:val="007D2732"/>
    <w:rsid w:val="007D3142"/>
    <w:rsid w:val="007D346B"/>
    <w:rsid w:val="007D34A4"/>
    <w:rsid w:val="007D3E6E"/>
    <w:rsid w:val="007D4868"/>
    <w:rsid w:val="007D4A19"/>
    <w:rsid w:val="007D606F"/>
    <w:rsid w:val="007D65B8"/>
    <w:rsid w:val="007D7580"/>
    <w:rsid w:val="007E0101"/>
    <w:rsid w:val="007E012D"/>
    <w:rsid w:val="007E32DD"/>
    <w:rsid w:val="007E35C9"/>
    <w:rsid w:val="007E380D"/>
    <w:rsid w:val="007E3B02"/>
    <w:rsid w:val="007E412B"/>
    <w:rsid w:val="007E487E"/>
    <w:rsid w:val="007E4C88"/>
    <w:rsid w:val="007E5895"/>
    <w:rsid w:val="007E6286"/>
    <w:rsid w:val="007E69CE"/>
    <w:rsid w:val="007E6AEB"/>
    <w:rsid w:val="007E6B7D"/>
    <w:rsid w:val="007E6F42"/>
    <w:rsid w:val="007E7C96"/>
    <w:rsid w:val="007E7FED"/>
    <w:rsid w:val="007F0D71"/>
    <w:rsid w:val="007F1BC1"/>
    <w:rsid w:val="007F2060"/>
    <w:rsid w:val="007F229F"/>
    <w:rsid w:val="007F27AE"/>
    <w:rsid w:val="007F27DB"/>
    <w:rsid w:val="007F2820"/>
    <w:rsid w:val="007F2D13"/>
    <w:rsid w:val="007F42EA"/>
    <w:rsid w:val="007F4921"/>
    <w:rsid w:val="007F4FAB"/>
    <w:rsid w:val="007F57FE"/>
    <w:rsid w:val="007F5871"/>
    <w:rsid w:val="007F5CED"/>
    <w:rsid w:val="007F61A5"/>
    <w:rsid w:val="007F6837"/>
    <w:rsid w:val="007F78BC"/>
    <w:rsid w:val="00800D94"/>
    <w:rsid w:val="0080123A"/>
    <w:rsid w:val="008013DB"/>
    <w:rsid w:val="008014AC"/>
    <w:rsid w:val="0080182E"/>
    <w:rsid w:val="008018CE"/>
    <w:rsid w:val="00803F2B"/>
    <w:rsid w:val="0080561C"/>
    <w:rsid w:val="0080578C"/>
    <w:rsid w:val="008057CA"/>
    <w:rsid w:val="0080637C"/>
    <w:rsid w:val="00806B8F"/>
    <w:rsid w:val="00807730"/>
    <w:rsid w:val="00807BCF"/>
    <w:rsid w:val="00810489"/>
    <w:rsid w:val="00810C17"/>
    <w:rsid w:val="00810D5E"/>
    <w:rsid w:val="00811142"/>
    <w:rsid w:val="00811596"/>
    <w:rsid w:val="00811A4F"/>
    <w:rsid w:val="008129A5"/>
    <w:rsid w:val="00812A27"/>
    <w:rsid w:val="00813E18"/>
    <w:rsid w:val="00814291"/>
    <w:rsid w:val="0081441E"/>
    <w:rsid w:val="0081470F"/>
    <w:rsid w:val="00814DCA"/>
    <w:rsid w:val="008156DB"/>
    <w:rsid w:val="008160DD"/>
    <w:rsid w:val="008160DF"/>
    <w:rsid w:val="00817612"/>
    <w:rsid w:val="00820004"/>
    <w:rsid w:val="00820178"/>
    <w:rsid w:val="00820199"/>
    <w:rsid w:val="008205BC"/>
    <w:rsid w:val="00821DCA"/>
    <w:rsid w:val="00822563"/>
    <w:rsid w:val="0082279A"/>
    <w:rsid w:val="00823C22"/>
    <w:rsid w:val="0082433D"/>
    <w:rsid w:val="00824E2F"/>
    <w:rsid w:val="00824E5E"/>
    <w:rsid w:val="008255EF"/>
    <w:rsid w:val="0082573B"/>
    <w:rsid w:val="008268D9"/>
    <w:rsid w:val="00826E32"/>
    <w:rsid w:val="00826F19"/>
    <w:rsid w:val="00827897"/>
    <w:rsid w:val="008316AD"/>
    <w:rsid w:val="008319AB"/>
    <w:rsid w:val="008329E4"/>
    <w:rsid w:val="00833759"/>
    <w:rsid w:val="00833F87"/>
    <w:rsid w:val="00834627"/>
    <w:rsid w:val="00834B32"/>
    <w:rsid w:val="00834CC7"/>
    <w:rsid w:val="00835010"/>
    <w:rsid w:val="008352F2"/>
    <w:rsid w:val="0083537C"/>
    <w:rsid w:val="00835F4A"/>
    <w:rsid w:val="008364F7"/>
    <w:rsid w:val="0083706A"/>
    <w:rsid w:val="00837284"/>
    <w:rsid w:val="00837385"/>
    <w:rsid w:val="00837B61"/>
    <w:rsid w:val="008407BA"/>
    <w:rsid w:val="00841145"/>
    <w:rsid w:val="008415D4"/>
    <w:rsid w:val="00841BB0"/>
    <w:rsid w:val="00841EFE"/>
    <w:rsid w:val="00842043"/>
    <w:rsid w:val="008425CD"/>
    <w:rsid w:val="0084268F"/>
    <w:rsid w:val="00842ADF"/>
    <w:rsid w:val="00842CE9"/>
    <w:rsid w:val="00843210"/>
    <w:rsid w:val="00843DD2"/>
    <w:rsid w:val="00844C3E"/>
    <w:rsid w:val="0084577F"/>
    <w:rsid w:val="00845D8B"/>
    <w:rsid w:val="008461C5"/>
    <w:rsid w:val="00846701"/>
    <w:rsid w:val="00846FD1"/>
    <w:rsid w:val="0085001F"/>
    <w:rsid w:val="00850052"/>
    <w:rsid w:val="0085045F"/>
    <w:rsid w:val="008508AA"/>
    <w:rsid w:val="008528AF"/>
    <w:rsid w:val="00852ECC"/>
    <w:rsid w:val="00853851"/>
    <w:rsid w:val="00853E72"/>
    <w:rsid w:val="00854AD9"/>
    <w:rsid w:val="00854C15"/>
    <w:rsid w:val="0085534F"/>
    <w:rsid w:val="00855F94"/>
    <w:rsid w:val="00856010"/>
    <w:rsid w:val="0085654E"/>
    <w:rsid w:val="0085662F"/>
    <w:rsid w:val="00856709"/>
    <w:rsid w:val="00856815"/>
    <w:rsid w:val="00856D6F"/>
    <w:rsid w:val="0085709D"/>
    <w:rsid w:val="0085735B"/>
    <w:rsid w:val="00857BA9"/>
    <w:rsid w:val="00857DDE"/>
    <w:rsid w:val="00857F20"/>
    <w:rsid w:val="00860CE5"/>
    <w:rsid w:val="008614EF"/>
    <w:rsid w:val="0086175C"/>
    <w:rsid w:val="00861973"/>
    <w:rsid w:val="008623CE"/>
    <w:rsid w:val="00862431"/>
    <w:rsid w:val="00862A5C"/>
    <w:rsid w:val="00862CE1"/>
    <w:rsid w:val="00863A32"/>
    <w:rsid w:val="008645B5"/>
    <w:rsid w:val="008647EC"/>
    <w:rsid w:val="00864817"/>
    <w:rsid w:val="00864979"/>
    <w:rsid w:val="00864C6E"/>
    <w:rsid w:val="00865DFB"/>
    <w:rsid w:val="008660E4"/>
    <w:rsid w:val="0086632A"/>
    <w:rsid w:val="00866498"/>
    <w:rsid w:val="00866705"/>
    <w:rsid w:val="0086797E"/>
    <w:rsid w:val="00870F57"/>
    <w:rsid w:val="008713D1"/>
    <w:rsid w:val="008718D2"/>
    <w:rsid w:val="0087196E"/>
    <w:rsid w:val="00871BFC"/>
    <w:rsid w:val="00872415"/>
    <w:rsid w:val="008725D0"/>
    <w:rsid w:val="008728AA"/>
    <w:rsid w:val="0087404B"/>
    <w:rsid w:val="00874F3F"/>
    <w:rsid w:val="00875089"/>
    <w:rsid w:val="00875B47"/>
    <w:rsid w:val="00876661"/>
    <w:rsid w:val="008767CB"/>
    <w:rsid w:val="008802B3"/>
    <w:rsid w:val="008804D9"/>
    <w:rsid w:val="0088082B"/>
    <w:rsid w:val="0088131F"/>
    <w:rsid w:val="00882DB5"/>
    <w:rsid w:val="00883103"/>
    <w:rsid w:val="00883960"/>
    <w:rsid w:val="00883B44"/>
    <w:rsid w:val="00883C2A"/>
    <w:rsid w:val="00884228"/>
    <w:rsid w:val="0088447F"/>
    <w:rsid w:val="008844EC"/>
    <w:rsid w:val="008852A6"/>
    <w:rsid w:val="00885C3B"/>
    <w:rsid w:val="008864E9"/>
    <w:rsid w:val="00886520"/>
    <w:rsid w:val="008869FC"/>
    <w:rsid w:val="00886A57"/>
    <w:rsid w:val="008871DE"/>
    <w:rsid w:val="00890D86"/>
    <w:rsid w:val="00891FF7"/>
    <w:rsid w:val="008921CA"/>
    <w:rsid w:val="0089255C"/>
    <w:rsid w:val="0089276D"/>
    <w:rsid w:val="00893735"/>
    <w:rsid w:val="0089396C"/>
    <w:rsid w:val="00893CE2"/>
    <w:rsid w:val="00893D33"/>
    <w:rsid w:val="00894E13"/>
    <w:rsid w:val="008956F9"/>
    <w:rsid w:val="00895816"/>
    <w:rsid w:val="00895BBF"/>
    <w:rsid w:val="00896BD7"/>
    <w:rsid w:val="008977A7"/>
    <w:rsid w:val="008977AB"/>
    <w:rsid w:val="00897930"/>
    <w:rsid w:val="0089793B"/>
    <w:rsid w:val="00897ED1"/>
    <w:rsid w:val="008A2511"/>
    <w:rsid w:val="008A2C47"/>
    <w:rsid w:val="008A2C6A"/>
    <w:rsid w:val="008A2EE9"/>
    <w:rsid w:val="008A31D2"/>
    <w:rsid w:val="008A3800"/>
    <w:rsid w:val="008A3FEC"/>
    <w:rsid w:val="008A4350"/>
    <w:rsid w:val="008A47DD"/>
    <w:rsid w:val="008A531C"/>
    <w:rsid w:val="008A56EA"/>
    <w:rsid w:val="008A5EE4"/>
    <w:rsid w:val="008A6A76"/>
    <w:rsid w:val="008A6C95"/>
    <w:rsid w:val="008A6E80"/>
    <w:rsid w:val="008A7F51"/>
    <w:rsid w:val="008B0412"/>
    <w:rsid w:val="008B0CBF"/>
    <w:rsid w:val="008B0ED6"/>
    <w:rsid w:val="008B13D8"/>
    <w:rsid w:val="008B1590"/>
    <w:rsid w:val="008B16AD"/>
    <w:rsid w:val="008B2E11"/>
    <w:rsid w:val="008B2FA2"/>
    <w:rsid w:val="008B3164"/>
    <w:rsid w:val="008B379D"/>
    <w:rsid w:val="008B3C60"/>
    <w:rsid w:val="008B43CD"/>
    <w:rsid w:val="008B4A9D"/>
    <w:rsid w:val="008B623E"/>
    <w:rsid w:val="008B6E0B"/>
    <w:rsid w:val="008B6F0C"/>
    <w:rsid w:val="008B753D"/>
    <w:rsid w:val="008C09F5"/>
    <w:rsid w:val="008C3229"/>
    <w:rsid w:val="008C37D5"/>
    <w:rsid w:val="008C3CE3"/>
    <w:rsid w:val="008C57F0"/>
    <w:rsid w:val="008C5A7C"/>
    <w:rsid w:val="008C5F30"/>
    <w:rsid w:val="008C6F1C"/>
    <w:rsid w:val="008C6FA0"/>
    <w:rsid w:val="008C7587"/>
    <w:rsid w:val="008D1214"/>
    <w:rsid w:val="008D154F"/>
    <w:rsid w:val="008D23C2"/>
    <w:rsid w:val="008D2580"/>
    <w:rsid w:val="008D30AB"/>
    <w:rsid w:val="008D3A9E"/>
    <w:rsid w:val="008D4216"/>
    <w:rsid w:val="008D42B7"/>
    <w:rsid w:val="008D4F9D"/>
    <w:rsid w:val="008D5047"/>
    <w:rsid w:val="008D50BE"/>
    <w:rsid w:val="008D53ED"/>
    <w:rsid w:val="008D5495"/>
    <w:rsid w:val="008D56C4"/>
    <w:rsid w:val="008D6CAA"/>
    <w:rsid w:val="008D6ECE"/>
    <w:rsid w:val="008D7773"/>
    <w:rsid w:val="008E0B34"/>
    <w:rsid w:val="008E1585"/>
    <w:rsid w:val="008E1744"/>
    <w:rsid w:val="008E1EF2"/>
    <w:rsid w:val="008E2D2C"/>
    <w:rsid w:val="008E2FC2"/>
    <w:rsid w:val="008E3731"/>
    <w:rsid w:val="008E42E5"/>
    <w:rsid w:val="008E456D"/>
    <w:rsid w:val="008E4FF4"/>
    <w:rsid w:val="008E62F2"/>
    <w:rsid w:val="008E6512"/>
    <w:rsid w:val="008E6680"/>
    <w:rsid w:val="008E6A99"/>
    <w:rsid w:val="008E6D24"/>
    <w:rsid w:val="008E7831"/>
    <w:rsid w:val="008E7997"/>
    <w:rsid w:val="008E7CD9"/>
    <w:rsid w:val="008F05D8"/>
    <w:rsid w:val="008F0630"/>
    <w:rsid w:val="008F0682"/>
    <w:rsid w:val="008F0BE0"/>
    <w:rsid w:val="008F10BE"/>
    <w:rsid w:val="008F1432"/>
    <w:rsid w:val="008F2F00"/>
    <w:rsid w:val="008F3025"/>
    <w:rsid w:val="008F321D"/>
    <w:rsid w:val="008F3B35"/>
    <w:rsid w:val="008F3D7A"/>
    <w:rsid w:val="008F4BE6"/>
    <w:rsid w:val="008F5FB1"/>
    <w:rsid w:val="008F6267"/>
    <w:rsid w:val="008F7001"/>
    <w:rsid w:val="008F765F"/>
    <w:rsid w:val="008F7AFF"/>
    <w:rsid w:val="008F7C5E"/>
    <w:rsid w:val="00900186"/>
    <w:rsid w:val="009003F5"/>
    <w:rsid w:val="0090089A"/>
    <w:rsid w:val="00901315"/>
    <w:rsid w:val="009015D3"/>
    <w:rsid w:val="00901996"/>
    <w:rsid w:val="00901F12"/>
    <w:rsid w:val="00902E5D"/>
    <w:rsid w:val="00904005"/>
    <w:rsid w:val="0090457A"/>
    <w:rsid w:val="00906188"/>
    <w:rsid w:val="009065DE"/>
    <w:rsid w:val="009100F9"/>
    <w:rsid w:val="009103F2"/>
    <w:rsid w:val="009106A7"/>
    <w:rsid w:val="00911397"/>
    <w:rsid w:val="009126AA"/>
    <w:rsid w:val="0091365E"/>
    <w:rsid w:val="00913A92"/>
    <w:rsid w:val="00913DF5"/>
    <w:rsid w:val="009146E8"/>
    <w:rsid w:val="00916235"/>
    <w:rsid w:val="009163D6"/>
    <w:rsid w:val="00916B6F"/>
    <w:rsid w:val="009179D3"/>
    <w:rsid w:val="00917FEF"/>
    <w:rsid w:val="00920417"/>
    <w:rsid w:val="009204EB"/>
    <w:rsid w:val="009214E3"/>
    <w:rsid w:val="009215B1"/>
    <w:rsid w:val="009216AF"/>
    <w:rsid w:val="00922042"/>
    <w:rsid w:val="009221DE"/>
    <w:rsid w:val="00922BAC"/>
    <w:rsid w:val="009240A7"/>
    <w:rsid w:val="009241C7"/>
    <w:rsid w:val="009250B2"/>
    <w:rsid w:val="00925439"/>
    <w:rsid w:val="009254AE"/>
    <w:rsid w:val="009262DE"/>
    <w:rsid w:val="00927382"/>
    <w:rsid w:val="0092781E"/>
    <w:rsid w:val="00927D1B"/>
    <w:rsid w:val="00927E1F"/>
    <w:rsid w:val="0093023A"/>
    <w:rsid w:val="009307CB"/>
    <w:rsid w:val="00930D3D"/>
    <w:rsid w:val="009314F4"/>
    <w:rsid w:val="009320B2"/>
    <w:rsid w:val="00932128"/>
    <w:rsid w:val="0093360E"/>
    <w:rsid w:val="009339D8"/>
    <w:rsid w:val="00933BC7"/>
    <w:rsid w:val="0093549A"/>
    <w:rsid w:val="00936193"/>
    <w:rsid w:val="00936752"/>
    <w:rsid w:val="00936A13"/>
    <w:rsid w:val="009370A6"/>
    <w:rsid w:val="009373D2"/>
    <w:rsid w:val="009403FB"/>
    <w:rsid w:val="00940ED7"/>
    <w:rsid w:val="009412AD"/>
    <w:rsid w:val="0094168B"/>
    <w:rsid w:val="00941FAA"/>
    <w:rsid w:val="00942172"/>
    <w:rsid w:val="0094226D"/>
    <w:rsid w:val="0094232B"/>
    <w:rsid w:val="00942741"/>
    <w:rsid w:val="00942ADE"/>
    <w:rsid w:val="0094330A"/>
    <w:rsid w:val="00943508"/>
    <w:rsid w:val="009436FD"/>
    <w:rsid w:val="00943804"/>
    <w:rsid w:val="00943ADB"/>
    <w:rsid w:val="00944059"/>
    <w:rsid w:val="00944BDF"/>
    <w:rsid w:val="00945505"/>
    <w:rsid w:val="00945646"/>
    <w:rsid w:val="00945E0A"/>
    <w:rsid w:val="00945F8E"/>
    <w:rsid w:val="00946DBF"/>
    <w:rsid w:val="0094721B"/>
    <w:rsid w:val="0094722D"/>
    <w:rsid w:val="00947494"/>
    <w:rsid w:val="00947B5B"/>
    <w:rsid w:val="00947CA3"/>
    <w:rsid w:val="00947EEF"/>
    <w:rsid w:val="0095049F"/>
    <w:rsid w:val="00950940"/>
    <w:rsid w:val="00950F6E"/>
    <w:rsid w:val="009517D4"/>
    <w:rsid w:val="0095218E"/>
    <w:rsid w:val="00952526"/>
    <w:rsid w:val="00953B77"/>
    <w:rsid w:val="00954179"/>
    <w:rsid w:val="00954D17"/>
    <w:rsid w:val="0095543D"/>
    <w:rsid w:val="009556BC"/>
    <w:rsid w:val="00955C3F"/>
    <w:rsid w:val="00956710"/>
    <w:rsid w:val="00956901"/>
    <w:rsid w:val="0095760F"/>
    <w:rsid w:val="00960481"/>
    <w:rsid w:val="009609BB"/>
    <w:rsid w:val="009614CA"/>
    <w:rsid w:val="00961850"/>
    <w:rsid w:val="009639B4"/>
    <w:rsid w:val="00963A98"/>
    <w:rsid w:val="00963F54"/>
    <w:rsid w:val="00964E50"/>
    <w:rsid w:val="00966964"/>
    <w:rsid w:val="00966D4D"/>
    <w:rsid w:val="00966DE4"/>
    <w:rsid w:val="00967C88"/>
    <w:rsid w:val="009705B7"/>
    <w:rsid w:val="00970764"/>
    <w:rsid w:val="00970D2A"/>
    <w:rsid w:val="00971305"/>
    <w:rsid w:val="0097197A"/>
    <w:rsid w:val="0097297C"/>
    <w:rsid w:val="00973AFC"/>
    <w:rsid w:val="00973C74"/>
    <w:rsid w:val="00973F09"/>
    <w:rsid w:val="009742BF"/>
    <w:rsid w:val="009745C3"/>
    <w:rsid w:val="00974797"/>
    <w:rsid w:val="00974C0B"/>
    <w:rsid w:val="009756FF"/>
    <w:rsid w:val="00976125"/>
    <w:rsid w:val="00976DDF"/>
    <w:rsid w:val="00976F79"/>
    <w:rsid w:val="00977152"/>
    <w:rsid w:val="00977B6C"/>
    <w:rsid w:val="00977F6F"/>
    <w:rsid w:val="00980BC7"/>
    <w:rsid w:val="009814FB"/>
    <w:rsid w:val="009817FE"/>
    <w:rsid w:val="00982235"/>
    <w:rsid w:val="0098240C"/>
    <w:rsid w:val="00982775"/>
    <w:rsid w:val="00982C2E"/>
    <w:rsid w:val="009831DF"/>
    <w:rsid w:val="009836AD"/>
    <w:rsid w:val="0098376F"/>
    <w:rsid w:val="00983C3C"/>
    <w:rsid w:val="00984252"/>
    <w:rsid w:val="009844E4"/>
    <w:rsid w:val="00984766"/>
    <w:rsid w:val="00985A23"/>
    <w:rsid w:val="00985DA2"/>
    <w:rsid w:val="00986DB0"/>
    <w:rsid w:val="009870C3"/>
    <w:rsid w:val="009877A4"/>
    <w:rsid w:val="00987BA9"/>
    <w:rsid w:val="00987E86"/>
    <w:rsid w:val="009906AD"/>
    <w:rsid w:val="0099099D"/>
    <w:rsid w:val="00990E60"/>
    <w:rsid w:val="00991856"/>
    <w:rsid w:val="009918C6"/>
    <w:rsid w:val="00991B6E"/>
    <w:rsid w:val="009920F3"/>
    <w:rsid w:val="009934CD"/>
    <w:rsid w:val="0099587B"/>
    <w:rsid w:val="00995B18"/>
    <w:rsid w:val="00996285"/>
    <w:rsid w:val="00996BA6"/>
    <w:rsid w:val="00996EB0"/>
    <w:rsid w:val="0099747C"/>
    <w:rsid w:val="009979E1"/>
    <w:rsid w:val="009A014A"/>
    <w:rsid w:val="009A01D6"/>
    <w:rsid w:val="009A04C5"/>
    <w:rsid w:val="009A0BBE"/>
    <w:rsid w:val="009A10D5"/>
    <w:rsid w:val="009A2697"/>
    <w:rsid w:val="009A2970"/>
    <w:rsid w:val="009A2CEA"/>
    <w:rsid w:val="009A320F"/>
    <w:rsid w:val="009A342F"/>
    <w:rsid w:val="009A3B51"/>
    <w:rsid w:val="009A3DDF"/>
    <w:rsid w:val="009A4ADD"/>
    <w:rsid w:val="009A4E39"/>
    <w:rsid w:val="009A4FAA"/>
    <w:rsid w:val="009A6615"/>
    <w:rsid w:val="009A798D"/>
    <w:rsid w:val="009A7A4F"/>
    <w:rsid w:val="009B129F"/>
    <w:rsid w:val="009B2042"/>
    <w:rsid w:val="009B2C8A"/>
    <w:rsid w:val="009B3007"/>
    <w:rsid w:val="009B3D0D"/>
    <w:rsid w:val="009B3DCB"/>
    <w:rsid w:val="009B4093"/>
    <w:rsid w:val="009B5880"/>
    <w:rsid w:val="009B6485"/>
    <w:rsid w:val="009B7236"/>
    <w:rsid w:val="009B7F8A"/>
    <w:rsid w:val="009C00D7"/>
    <w:rsid w:val="009C00F5"/>
    <w:rsid w:val="009C01B2"/>
    <w:rsid w:val="009C03BB"/>
    <w:rsid w:val="009C193B"/>
    <w:rsid w:val="009C2CC2"/>
    <w:rsid w:val="009C2EBC"/>
    <w:rsid w:val="009C33E0"/>
    <w:rsid w:val="009C34B1"/>
    <w:rsid w:val="009C46F7"/>
    <w:rsid w:val="009C48CF"/>
    <w:rsid w:val="009C5AEA"/>
    <w:rsid w:val="009C612F"/>
    <w:rsid w:val="009C68A7"/>
    <w:rsid w:val="009C7322"/>
    <w:rsid w:val="009C778E"/>
    <w:rsid w:val="009C7A25"/>
    <w:rsid w:val="009C7EAF"/>
    <w:rsid w:val="009D02C0"/>
    <w:rsid w:val="009D0A71"/>
    <w:rsid w:val="009D182C"/>
    <w:rsid w:val="009D1B17"/>
    <w:rsid w:val="009D1EB1"/>
    <w:rsid w:val="009D291E"/>
    <w:rsid w:val="009D29E4"/>
    <w:rsid w:val="009D32A0"/>
    <w:rsid w:val="009D3AF8"/>
    <w:rsid w:val="009D3B50"/>
    <w:rsid w:val="009D3BF4"/>
    <w:rsid w:val="009D4033"/>
    <w:rsid w:val="009D443C"/>
    <w:rsid w:val="009D4745"/>
    <w:rsid w:val="009D4C3E"/>
    <w:rsid w:val="009D55C6"/>
    <w:rsid w:val="009D56E2"/>
    <w:rsid w:val="009D5818"/>
    <w:rsid w:val="009D63DB"/>
    <w:rsid w:val="009D65FB"/>
    <w:rsid w:val="009D6F8E"/>
    <w:rsid w:val="009D6F9A"/>
    <w:rsid w:val="009E00D2"/>
    <w:rsid w:val="009E0906"/>
    <w:rsid w:val="009E0999"/>
    <w:rsid w:val="009E0B8E"/>
    <w:rsid w:val="009E1C00"/>
    <w:rsid w:val="009E28C9"/>
    <w:rsid w:val="009E5DC4"/>
    <w:rsid w:val="009E638B"/>
    <w:rsid w:val="009E674D"/>
    <w:rsid w:val="009E6DBF"/>
    <w:rsid w:val="009E723C"/>
    <w:rsid w:val="009E7EA1"/>
    <w:rsid w:val="009F0818"/>
    <w:rsid w:val="009F0F0D"/>
    <w:rsid w:val="009F17A5"/>
    <w:rsid w:val="009F1FA8"/>
    <w:rsid w:val="009F291D"/>
    <w:rsid w:val="009F2B98"/>
    <w:rsid w:val="009F3029"/>
    <w:rsid w:val="009F31F5"/>
    <w:rsid w:val="009F3D4F"/>
    <w:rsid w:val="009F4731"/>
    <w:rsid w:val="009F4867"/>
    <w:rsid w:val="009F55C5"/>
    <w:rsid w:val="009F59AB"/>
    <w:rsid w:val="009F5D23"/>
    <w:rsid w:val="009F6020"/>
    <w:rsid w:val="009F659A"/>
    <w:rsid w:val="009F6AAF"/>
    <w:rsid w:val="009F6C4A"/>
    <w:rsid w:val="009F750A"/>
    <w:rsid w:val="00A001D0"/>
    <w:rsid w:val="00A01247"/>
    <w:rsid w:val="00A01C4C"/>
    <w:rsid w:val="00A022DD"/>
    <w:rsid w:val="00A02C42"/>
    <w:rsid w:val="00A02E34"/>
    <w:rsid w:val="00A0329C"/>
    <w:rsid w:val="00A041B2"/>
    <w:rsid w:val="00A05336"/>
    <w:rsid w:val="00A05B40"/>
    <w:rsid w:val="00A06025"/>
    <w:rsid w:val="00A06332"/>
    <w:rsid w:val="00A06BB8"/>
    <w:rsid w:val="00A06FDE"/>
    <w:rsid w:val="00A0703A"/>
    <w:rsid w:val="00A0718A"/>
    <w:rsid w:val="00A07AEA"/>
    <w:rsid w:val="00A100CA"/>
    <w:rsid w:val="00A10A79"/>
    <w:rsid w:val="00A10CFB"/>
    <w:rsid w:val="00A10F22"/>
    <w:rsid w:val="00A11207"/>
    <w:rsid w:val="00A11878"/>
    <w:rsid w:val="00A11956"/>
    <w:rsid w:val="00A11DC9"/>
    <w:rsid w:val="00A120D2"/>
    <w:rsid w:val="00A12213"/>
    <w:rsid w:val="00A126E9"/>
    <w:rsid w:val="00A12764"/>
    <w:rsid w:val="00A13127"/>
    <w:rsid w:val="00A13379"/>
    <w:rsid w:val="00A13835"/>
    <w:rsid w:val="00A13D30"/>
    <w:rsid w:val="00A14010"/>
    <w:rsid w:val="00A14857"/>
    <w:rsid w:val="00A14CA1"/>
    <w:rsid w:val="00A14DAC"/>
    <w:rsid w:val="00A151A2"/>
    <w:rsid w:val="00A15580"/>
    <w:rsid w:val="00A15F46"/>
    <w:rsid w:val="00A178B4"/>
    <w:rsid w:val="00A20942"/>
    <w:rsid w:val="00A21278"/>
    <w:rsid w:val="00A213E7"/>
    <w:rsid w:val="00A22C86"/>
    <w:rsid w:val="00A22F2A"/>
    <w:rsid w:val="00A22FB9"/>
    <w:rsid w:val="00A23D22"/>
    <w:rsid w:val="00A24046"/>
    <w:rsid w:val="00A248F4"/>
    <w:rsid w:val="00A25558"/>
    <w:rsid w:val="00A2565C"/>
    <w:rsid w:val="00A27360"/>
    <w:rsid w:val="00A27638"/>
    <w:rsid w:val="00A27D0B"/>
    <w:rsid w:val="00A30528"/>
    <w:rsid w:val="00A309F8"/>
    <w:rsid w:val="00A316AF"/>
    <w:rsid w:val="00A319F7"/>
    <w:rsid w:val="00A31B83"/>
    <w:rsid w:val="00A31CE2"/>
    <w:rsid w:val="00A32362"/>
    <w:rsid w:val="00A32D38"/>
    <w:rsid w:val="00A32FFA"/>
    <w:rsid w:val="00A33DCF"/>
    <w:rsid w:val="00A3451A"/>
    <w:rsid w:val="00A35794"/>
    <w:rsid w:val="00A359CF"/>
    <w:rsid w:val="00A35E2A"/>
    <w:rsid w:val="00A36BC0"/>
    <w:rsid w:val="00A3741A"/>
    <w:rsid w:val="00A37F6E"/>
    <w:rsid w:val="00A40A31"/>
    <w:rsid w:val="00A412F8"/>
    <w:rsid w:val="00A41936"/>
    <w:rsid w:val="00A42021"/>
    <w:rsid w:val="00A42D10"/>
    <w:rsid w:val="00A455DC"/>
    <w:rsid w:val="00A473DD"/>
    <w:rsid w:val="00A47495"/>
    <w:rsid w:val="00A478C2"/>
    <w:rsid w:val="00A479F5"/>
    <w:rsid w:val="00A50743"/>
    <w:rsid w:val="00A51921"/>
    <w:rsid w:val="00A523F3"/>
    <w:rsid w:val="00A52F12"/>
    <w:rsid w:val="00A532EC"/>
    <w:rsid w:val="00A53836"/>
    <w:rsid w:val="00A5393A"/>
    <w:rsid w:val="00A53E2B"/>
    <w:rsid w:val="00A5491D"/>
    <w:rsid w:val="00A5508D"/>
    <w:rsid w:val="00A553BE"/>
    <w:rsid w:val="00A5568C"/>
    <w:rsid w:val="00A557B8"/>
    <w:rsid w:val="00A55E44"/>
    <w:rsid w:val="00A5604D"/>
    <w:rsid w:val="00A56401"/>
    <w:rsid w:val="00A56BE8"/>
    <w:rsid w:val="00A57002"/>
    <w:rsid w:val="00A576A1"/>
    <w:rsid w:val="00A57957"/>
    <w:rsid w:val="00A57FBF"/>
    <w:rsid w:val="00A60946"/>
    <w:rsid w:val="00A60AAC"/>
    <w:rsid w:val="00A60F93"/>
    <w:rsid w:val="00A61619"/>
    <w:rsid w:val="00A61872"/>
    <w:rsid w:val="00A618F7"/>
    <w:rsid w:val="00A61E1A"/>
    <w:rsid w:val="00A622D4"/>
    <w:rsid w:val="00A623DD"/>
    <w:rsid w:val="00A62580"/>
    <w:rsid w:val="00A62946"/>
    <w:rsid w:val="00A62CEA"/>
    <w:rsid w:val="00A63D20"/>
    <w:rsid w:val="00A63DA5"/>
    <w:rsid w:val="00A6452D"/>
    <w:rsid w:val="00A64829"/>
    <w:rsid w:val="00A653C5"/>
    <w:rsid w:val="00A65BEC"/>
    <w:rsid w:val="00A662CF"/>
    <w:rsid w:val="00A667BE"/>
    <w:rsid w:val="00A66FFD"/>
    <w:rsid w:val="00A67844"/>
    <w:rsid w:val="00A70C63"/>
    <w:rsid w:val="00A71E25"/>
    <w:rsid w:val="00A72B98"/>
    <w:rsid w:val="00A72F42"/>
    <w:rsid w:val="00A73729"/>
    <w:rsid w:val="00A73771"/>
    <w:rsid w:val="00A73FE9"/>
    <w:rsid w:val="00A74105"/>
    <w:rsid w:val="00A749F4"/>
    <w:rsid w:val="00A74B26"/>
    <w:rsid w:val="00A74FC4"/>
    <w:rsid w:val="00A757AB"/>
    <w:rsid w:val="00A75853"/>
    <w:rsid w:val="00A75879"/>
    <w:rsid w:val="00A75923"/>
    <w:rsid w:val="00A7607E"/>
    <w:rsid w:val="00A766E0"/>
    <w:rsid w:val="00A77446"/>
    <w:rsid w:val="00A80566"/>
    <w:rsid w:val="00A81120"/>
    <w:rsid w:val="00A81A0F"/>
    <w:rsid w:val="00A81D11"/>
    <w:rsid w:val="00A82225"/>
    <w:rsid w:val="00A82676"/>
    <w:rsid w:val="00A82D77"/>
    <w:rsid w:val="00A83A7A"/>
    <w:rsid w:val="00A84C3B"/>
    <w:rsid w:val="00A869DB"/>
    <w:rsid w:val="00A871BC"/>
    <w:rsid w:val="00A90D1D"/>
    <w:rsid w:val="00A90E9F"/>
    <w:rsid w:val="00A918FB"/>
    <w:rsid w:val="00A91D48"/>
    <w:rsid w:val="00A924F7"/>
    <w:rsid w:val="00A92919"/>
    <w:rsid w:val="00A9326A"/>
    <w:rsid w:val="00A93AA6"/>
    <w:rsid w:val="00A9500A"/>
    <w:rsid w:val="00A95655"/>
    <w:rsid w:val="00A957D9"/>
    <w:rsid w:val="00A95D50"/>
    <w:rsid w:val="00A9669F"/>
    <w:rsid w:val="00A966DB"/>
    <w:rsid w:val="00A96A24"/>
    <w:rsid w:val="00A97987"/>
    <w:rsid w:val="00AA01D8"/>
    <w:rsid w:val="00AA13F8"/>
    <w:rsid w:val="00AA1448"/>
    <w:rsid w:val="00AA1696"/>
    <w:rsid w:val="00AA235A"/>
    <w:rsid w:val="00AA2385"/>
    <w:rsid w:val="00AA29B0"/>
    <w:rsid w:val="00AA2FB7"/>
    <w:rsid w:val="00AA30FF"/>
    <w:rsid w:val="00AA3C44"/>
    <w:rsid w:val="00AA3CC5"/>
    <w:rsid w:val="00AA452A"/>
    <w:rsid w:val="00AA4EE9"/>
    <w:rsid w:val="00AA4F0C"/>
    <w:rsid w:val="00AA5CD6"/>
    <w:rsid w:val="00AA5E7F"/>
    <w:rsid w:val="00AA6683"/>
    <w:rsid w:val="00AA66FE"/>
    <w:rsid w:val="00AA6BC9"/>
    <w:rsid w:val="00AA7DF9"/>
    <w:rsid w:val="00AA7E2C"/>
    <w:rsid w:val="00AB0AAC"/>
    <w:rsid w:val="00AB12EE"/>
    <w:rsid w:val="00AB13E4"/>
    <w:rsid w:val="00AB18F1"/>
    <w:rsid w:val="00AB1B95"/>
    <w:rsid w:val="00AB1D3C"/>
    <w:rsid w:val="00AB1D68"/>
    <w:rsid w:val="00AB2083"/>
    <w:rsid w:val="00AB211C"/>
    <w:rsid w:val="00AB23A6"/>
    <w:rsid w:val="00AB3B78"/>
    <w:rsid w:val="00AB3C57"/>
    <w:rsid w:val="00AB3CF0"/>
    <w:rsid w:val="00AB4146"/>
    <w:rsid w:val="00AB4A54"/>
    <w:rsid w:val="00AB5015"/>
    <w:rsid w:val="00AB53A4"/>
    <w:rsid w:val="00AB55BA"/>
    <w:rsid w:val="00AB5744"/>
    <w:rsid w:val="00AB5FF8"/>
    <w:rsid w:val="00AB6903"/>
    <w:rsid w:val="00AB6BCA"/>
    <w:rsid w:val="00AB6D15"/>
    <w:rsid w:val="00AB7770"/>
    <w:rsid w:val="00AC0175"/>
    <w:rsid w:val="00AC0644"/>
    <w:rsid w:val="00AC0E60"/>
    <w:rsid w:val="00AC0F19"/>
    <w:rsid w:val="00AC1769"/>
    <w:rsid w:val="00AC1DD3"/>
    <w:rsid w:val="00AC22C1"/>
    <w:rsid w:val="00AC2340"/>
    <w:rsid w:val="00AC24B3"/>
    <w:rsid w:val="00AC2F0D"/>
    <w:rsid w:val="00AC3203"/>
    <w:rsid w:val="00AC3FB9"/>
    <w:rsid w:val="00AC48DB"/>
    <w:rsid w:val="00AC50AE"/>
    <w:rsid w:val="00AC5200"/>
    <w:rsid w:val="00AC540A"/>
    <w:rsid w:val="00AC6076"/>
    <w:rsid w:val="00AC6309"/>
    <w:rsid w:val="00AC68FF"/>
    <w:rsid w:val="00AC74EE"/>
    <w:rsid w:val="00AC75C7"/>
    <w:rsid w:val="00AD0239"/>
    <w:rsid w:val="00AD04D4"/>
    <w:rsid w:val="00AD0B2C"/>
    <w:rsid w:val="00AD1BA9"/>
    <w:rsid w:val="00AD1DC4"/>
    <w:rsid w:val="00AD2127"/>
    <w:rsid w:val="00AD2798"/>
    <w:rsid w:val="00AD36DB"/>
    <w:rsid w:val="00AD373D"/>
    <w:rsid w:val="00AD38F2"/>
    <w:rsid w:val="00AD4C74"/>
    <w:rsid w:val="00AD4F86"/>
    <w:rsid w:val="00AD51CC"/>
    <w:rsid w:val="00AD5276"/>
    <w:rsid w:val="00AD5CA0"/>
    <w:rsid w:val="00AD6702"/>
    <w:rsid w:val="00AD6D85"/>
    <w:rsid w:val="00AD6DE9"/>
    <w:rsid w:val="00AD7D55"/>
    <w:rsid w:val="00AE018C"/>
    <w:rsid w:val="00AE02BF"/>
    <w:rsid w:val="00AE1458"/>
    <w:rsid w:val="00AE392C"/>
    <w:rsid w:val="00AE39C8"/>
    <w:rsid w:val="00AE3A2B"/>
    <w:rsid w:val="00AE3D34"/>
    <w:rsid w:val="00AE43DF"/>
    <w:rsid w:val="00AE4824"/>
    <w:rsid w:val="00AE4E78"/>
    <w:rsid w:val="00AE554D"/>
    <w:rsid w:val="00AE6095"/>
    <w:rsid w:val="00AE6A99"/>
    <w:rsid w:val="00AE7794"/>
    <w:rsid w:val="00AE793E"/>
    <w:rsid w:val="00AE79F7"/>
    <w:rsid w:val="00AE7AA2"/>
    <w:rsid w:val="00AE7EA4"/>
    <w:rsid w:val="00AF02F9"/>
    <w:rsid w:val="00AF0A49"/>
    <w:rsid w:val="00AF21B1"/>
    <w:rsid w:val="00AF274F"/>
    <w:rsid w:val="00AF2ACA"/>
    <w:rsid w:val="00AF2AFA"/>
    <w:rsid w:val="00AF390F"/>
    <w:rsid w:val="00AF3E31"/>
    <w:rsid w:val="00AF4B75"/>
    <w:rsid w:val="00AF51D2"/>
    <w:rsid w:val="00AF5289"/>
    <w:rsid w:val="00AF5C7F"/>
    <w:rsid w:val="00AF5EAB"/>
    <w:rsid w:val="00AF643B"/>
    <w:rsid w:val="00AF6457"/>
    <w:rsid w:val="00AF7315"/>
    <w:rsid w:val="00AF7461"/>
    <w:rsid w:val="00AF76FF"/>
    <w:rsid w:val="00AF77CC"/>
    <w:rsid w:val="00B0040E"/>
    <w:rsid w:val="00B0104B"/>
    <w:rsid w:val="00B0117B"/>
    <w:rsid w:val="00B01417"/>
    <w:rsid w:val="00B015B8"/>
    <w:rsid w:val="00B01723"/>
    <w:rsid w:val="00B0181E"/>
    <w:rsid w:val="00B01F78"/>
    <w:rsid w:val="00B02682"/>
    <w:rsid w:val="00B02AD0"/>
    <w:rsid w:val="00B02D4E"/>
    <w:rsid w:val="00B034E9"/>
    <w:rsid w:val="00B036D3"/>
    <w:rsid w:val="00B03CB9"/>
    <w:rsid w:val="00B04610"/>
    <w:rsid w:val="00B062BE"/>
    <w:rsid w:val="00B06637"/>
    <w:rsid w:val="00B10379"/>
    <w:rsid w:val="00B1076F"/>
    <w:rsid w:val="00B1153F"/>
    <w:rsid w:val="00B119FB"/>
    <w:rsid w:val="00B12155"/>
    <w:rsid w:val="00B1242C"/>
    <w:rsid w:val="00B12438"/>
    <w:rsid w:val="00B1349A"/>
    <w:rsid w:val="00B134AB"/>
    <w:rsid w:val="00B13E25"/>
    <w:rsid w:val="00B14881"/>
    <w:rsid w:val="00B14D57"/>
    <w:rsid w:val="00B1519D"/>
    <w:rsid w:val="00B15BC8"/>
    <w:rsid w:val="00B15F6D"/>
    <w:rsid w:val="00B16B49"/>
    <w:rsid w:val="00B16BE9"/>
    <w:rsid w:val="00B200D7"/>
    <w:rsid w:val="00B206B9"/>
    <w:rsid w:val="00B2102D"/>
    <w:rsid w:val="00B211D8"/>
    <w:rsid w:val="00B21458"/>
    <w:rsid w:val="00B214E4"/>
    <w:rsid w:val="00B2156E"/>
    <w:rsid w:val="00B22787"/>
    <w:rsid w:val="00B23261"/>
    <w:rsid w:val="00B23C3E"/>
    <w:rsid w:val="00B245B7"/>
    <w:rsid w:val="00B25FCD"/>
    <w:rsid w:val="00B27AB6"/>
    <w:rsid w:val="00B3110D"/>
    <w:rsid w:val="00B31298"/>
    <w:rsid w:val="00B319AF"/>
    <w:rsid w:val="00B32556"/>
    <w:rsid w:val="00B325AA"/>
    <w:rsid w:val="00B32830"/>
    <w:rsid w:val="00B33D9C"/>
    <w:rsid w:val="00B3610A"/>
    <w:rsid w:val="00B3636B"/>
    <w:rsid w:val="00B36966"/>
    <w:rsid w:val="00B377CB"/>
    <w:rsid w:val="00B40424"/>
    <w:rsid w:val="00B40DC3"/>
    <w:rsid w:val="00B414AB"/>
    <w:rsid w:val="00B415AA"/>
    <w:rsid w:val="00B4200B"/>
    <w:rsid w:val="00B437FE"/>
    <w:rsid w:val="00B43A39"/>
    <w:rsid w:val="00B43C33"/>
    <w:rsid w:val="00B43F15"/>
    <w:rsid w:val="00B44545"/>
    <w:rsid w:val="00B449B6"/>
    <w:rsid w:val="00B44D1A"/>
    <w:rsid w:val="00B46346"/>
    <w:rsid w:val="00B46759"/>
    <w:rsid w:val="00B46995"/>
    <w:rsid w:val="00B4726E"/>
    <w:rsid w:val="00B50367"/>
    <w:rsid w:val="00B51E75"/>
    <w:rsid w:val="00B53B17"/>
    <w:rsid w:val="00B53CAB"/>
    <w:rsid w:val="00B53F98"/>
    <w:rsid w:val="00B54CB4"/>
    <w:rsid w:val="00B55A98"/>
    <w:rsid w:val="00B55EBC"/>
    <w:rsid w:val="00B56005"/>
    <w:rsid w:val="00B566F4"/>
    <w:rsid w:val="00B56705"/>
    <w:rsid w:val="00B57952"/>
    <w:rsid w:val="00B57ABF"/>
    <w:rsid w:val="00B57AF0"/>
    <w:rsid w:val="00B57DE4"/>
    <w:rsid w:val="00B57F1F"/>
    <w:rsid w:val="00B608D8"/>
    <w:rsid w:val="00B60E38"/>
    <w:rsid w:val="00B61291"/>
    <w:rsid w:val="00B616B0"/>
    <w:rsid w:val="00B624F0"/>
    <w:rsid w:val="00B62ED1"/>
    <w:rsid w:val="00B64C12"/>
    <w:rsid w:val="00B64E35"/>
    <w:rsid w:val="00B6503A"/>
    <w:rsid w:val="00B653B0"/>
    <w:rsid w:val="00B6574D"/>
    <w:rsid w:val="00B65BD0"/>
    <w:rsid w:val="00B65F07"/>
    <w:rsid w:val="00B66265"/>
    <w:rsid w:val="00B66C70"/>
    <w:rsid w:val="00B6714E"/>
    <w:rsid w:val="00B70AC9"/>
    <w:rsid w:val="00B711C4"/>
    <w:rsid w:val="00B715E0"/>
    <w:rsid w:val="00B7268F"/>
    <w:rsid w:val="00B72991"/>
    <w:rsid w:val="00B73542"/>
    <w:rsid w:val="00B73F2D"/>
    <w:rsid w:val="00B745A8"/>
    <w:rsid w:val="00B75C3B"/>
    <w:rsid w:val="00B760C9"/>
    <w:rsid w:val="00B763B9"/>
    <w:rsid w:val="00B77347"/>
    <w:rsid w:val="00B77915"/>
    <w:rsid w:val="00B77A07"/>
    <w:rsid w:val="00B80893"/>
    <w:rsid w:val="00B81A72"/>
    <w:rsid w:val="00B81B7F"/>
    <w:rsid w:val="00B81D2C"/>
    <w:rsid w:val="00B8258E"/>
    <w:rsid w:val="00B82C71"/>
    <w:rsid w:val="00B830D6"/>
    <w:rsid w:val="00B834F1"/>
    <w:rsid w:val="00B83E86"/>
    <w:rsid w:val="00B83FEA"/>
    <w:rsid w:val="00B84542"/>
    <w:rsid w:val="00B845F8"/>
    <w:rsid w:val="00B84FA1"/>
    <w:rsid w:val="00B85754"/>
    <w:rsid w:val="00B864BC"/>
    <w:rsid w:val="00B86AFC"/>
    <w:rsid w:val="00B9003F"/>
    <w:rsid w:val="00B90456"/>
    <w:rsid w:val="00B907BB"/>
    <w:rsid w:val="00B90B67"/>
    <w:rsid w:val="00B91A53"/>
    <w:rsid w:val="00B91E21"/>
    <w:rsid w:val="00B920FE"/>
    <w:rsid w:val="00B92646"/>
    <w:rsid w:val="00B929E5"/>
    <w:rsid w:val="00B92BA1"/>
    <w:rsid w:val="00B9338D"/>
    <w:rsid w:val="00B93C3E"/>
    <w:rsid w:val="00B943F7"/>
    <w:rsid w:val="00B9587F"/>
    <w:rsid w:val="00B95C18"/>
    <w:rsid w:val="00B976F5"/>
    <w:rsid w:val="00B97767"/>
    <w:rsid w:val="00B97CE8"/>
    <w:rsid w:val="00BA0385"/>
    <w:rsid w:val="00BA046B"/>
    <w:rsid w:val="00BA0484"/>
    <w:rsid w:val="00BA05D1"/>
    <w:rsid w:val="00BA11C7"/>
    <w:rsid w:val="00BA1466"/>
    <w:rsid w:val="00BA153D"/>
    <w:rsid w:val="00BA15A6"/>
    <w:rsid w:val="00BA1F75"/>
    <w:rsid w:val="00BA26A4"/>
    <w:rsid w:val="00BA28CA"/>
    <w:rsid w:val="00BA2D1B"/>
    <w:rsid w:val="00BA3622"/>
    <w:rsid w:val="00BA37DC"/>
    <w:rsid w:val="00BA3E03"/>
    <w:rsid w:val="00BA5077"/>
    <w:rsid w:val="00BA50B2"/>
    <w:rsid w:val="00BA57CF"/>
    <w:rsid w:val="00BA5932"/>
    <w:rsid w:val="00BA67CF"/>
    <w:rsid w:val="00BA6F80"/>
    <w:rsid w:val="00BA7C9F"/>
    <w:rsid w:val="00BB0EF8"/>
    <w:rsid w:val="00BB1B4E"/>
    <w:rsid w:val="00BB1C49"/>
    <w:rsid w:val="00BB1E95"/>
    <w:rsid w:val="00BB201B"/>
    <w:rsid w:val="00BB2124"/>
    <w:rsid w:val="00BB242D"/>
    <w:rsid w:val="00BB265F"/>
    <w:rsid w:val="00BB373F"/>
    <w:rsid w:val="00BB39E0"/>
    <w:rsid w:val="00BB3B52"/>
    <w:rsid w:val="00BB4400"/>
    <w:rsid w:val="00BB4543"/>
    <w:rsid w:val="00BB5885"/>
    <w:rsid w:val="00BB59D7"/>
    <w:rsid w:val="00BB60CF"/>
    <w:rsid w:val="00BB60E3"/>
    <w:rsid w:val="00BC0A62"/>
    <w:rsid w:val="00BC0E05"/>
    <w:rsid w:val="00BC149B"/>
    <w:rsid w:val="00BC2794"/>
    <w:rsid w:val="00BC34BC"/>
    <w:rsid w:val="00BC3C0B"/>
    <w:rsid w:val="00BC3CD9"/>
    <w:rsid w:val="00BC4239"/>
    <w:rsid w:val="00BC471F"/>
    <w:rsid w:val="00BC50BE"/>
    <w:rsid w:val="00BC58D0"/>
    <w:rsid w:val="00BC5A59"/>
    <w:rsid w:val="00BC6530"/>
    <w:rsid w:val="00BC6AD9"/>
    <w:rsid w:val="00BC6C0E"/>
    <w:rsid w:val="00BC6D02"/>
    <w:rsid w:val="00BC7785"/>
    <w:rsid w:val="00BC7C78"/>
    <w:rsid w:val="00BD16AB"/>
    <w:rsid w:val="00BD16DD"/>
    <w:rsid w:val="00BD201E"/>
    <w:rsid w:val="00BD2185"/>
    <w:rsid w:val="00BD2956"/>
    <w:rsid w:val="00BD2E0B"/>
    <w:rsid w:val="00BD3459"/>
    <w:rsid w:val="00BD4B04"/>
    <w:rsid w:val="00BD4DDC"/>
    <w:rsid w:val="00BD572F"/>
    <w:rsid w:val="00BD5ECB"/>
    <w:rsid w:val="00BD63F5"/>
    <w:rsid w:val="00BD6F89"/>
    <w:rsid w:val="00BD7134"/>
    <w:rsid w:val="00BD782F"/>
    <w:rsid w:val="00BD7D30"/>
    <w:rsid w:val="00BD7DBB"/>
    <w:rsid w:val="00BE0870"/>
    <w:rsid w:val="00BE0C39"/>
    <w:rsid w:val="00BE102C"/>
    <w:rsid w:val="00BE16CB"/>
    <w:rsid w:val="00BE2ECF"/>
    <w:rsid w:val="00BE3F05"/>
    <w:rsid w:val="00BE42FF"/>
    <w:rsid w:val="00BE6143"/>
    <w:rsid w:val="00BE6B87"/>
    <w:rsid w:val="00BF00D8"/>
    <w:rsid w:val="00BF05AB"/>
    <w:rsid w:val="00BF176A"/>
    <w:rsid w:val="00BF2C52"/>
    <w:rsid w:val="00BF4961"/>
    <w:rsid w:val="00BF4D52"/>
    <w:rsid w:val="00BF56F5"/>
    <w:rsid w:val="00BF5C46"/>
    <w:rsid w:val="00BF6F0B"/>
    <w:rsid w:val="00BF7D1B"/>
    <w:rsid w:val="00C007E2"/>
    <w:rsid w:val="00C00987"/>
    <w:rsid w:val="00C00A5E"/>
    <w:rsid w:val="00C00AB3"/>
    <w:rsid w:val="00C00C71"/>
    <w:rsid w:val="00C00D95"/>
    <w:rsid w:val="00C01CF7"/>
    <w:rsid w:val="00C02C5B"/>
    <w:rsid w:val="00C0450F"/>
    <w:rsid w:val="00C04524"/>
    <w:rsid w:val="00C04571"/>
    <w:rsid w:val="00C04D3C"/>
    <w:rsid w:val="00C05D6C"/>
    <w:rsid w:val="00C06498"/>
    <w:rsid w:val="00C06D90"/>
    <w:rsid w:val="00C06FCB"/>
    <w:rsid w:val="00C07DD2"/>
    <w:rsid w:val="00C07E8B"/>
    <w:rsid w:val="00C100A3"/>
    <w:rsid w:val="00C10374"/>
    <w:rsid w:val="00C10557"/>
    <w:rsid w:val="00C1061D"/>
    <w:rsid w:val="00C11730"/>
    <w:rsid w:val="00C1205B"/>
    <w:rsid w:val="00C124A8"/>
    <w:rsid w:val="00C12669"/>
    <w:rsid w:val="00C1294F"/>
    <w:rsid w:val="00C13559"/>
    <w:rsid w:val="00C140AA"/>
    <w:rsid w:val="00C1471C"/>
    <w:rsid w:val="00C14CCA"/>
    <w:rsid w:val="00C1566D"/>
    <w:rsid w:val="00C15897"/>
    <w:rsid w:val="00C15E79"/>
    <w:rsid w:val="00C161BF"/>
    <w:rsid w:val="00C16264"/>
    <w:rsid w:val="00C17D18"/>
    <w:rsid w:val="00C2150E"/>
    <w:rsid w:val="00C21560"/>
    <w:rsid w:val="00C21FED"/>
    <w:rsid w:val="00C2299F"/>
    <w:rsid w:val="00C229F9"/>
    <w:rsid w:val="00C22FB3"/>
    <w:rsid w:val="00C2312C"/>
    <w:rsid w:val="00C23391"/>
    <w:rsid w:val="00C23A40"/>
    <w:rsid w:val="00C25369"/>
    <w:rsid w:val="00C254E9"/>
    <w:rsid w:val="00C25659"/>
    <w:rsid w:val="00C259EA"/>
    <w:rsid w:val="00C25C44"/>
    <w:rsid w:val="00C25F5C"/>
    <w:rsid w:val="00C26D19"/>
    <w:rsid w:val="00C26DFC"/>
    <w:rsid w:val="00C26E4E"/>
    <w:rsid w:val="00C2711F"/>
    <w:rsid w:val="00C273E3"/>
    <w:rsid w:val="00C2745D"/>
    <w:rsid w:val="00C27E3A"/>
    <w:rsid w:val="00C3021B"/>
    <w:rsid w:val="00C30EC7"/>
    <w:rsid w:val="00C31778"/>
    <w:rsid w:val="00C323EA"/>
    <w:rsid w:val="00C33952"/>
    <w:rsid w:val="00C33E96"/>
    <w:rsid w:val="00C34292"/>
    <w:rsid w:val="00C35293"/>
    <w:rsid w:val="00C35B34"/>
    <w:rsid w:val="00C363EF"/>
    <w:rsid w:val="00C36AFD"/>
    <w:rsid w:val="00C36B56"/>
    <w:rsid w:val="00C403FA"/>
    <w:rsid w:val="00C4048E"/>
    <w:rsid w:val="00C408A3"/>
    <w:rsid w:val="00C40CCB"/>
    <w:rsid w:val="00C40EB2"/>
    <w:rsid w:val="00C4127D"/>
    <w:rsid w:val="00C41A03"/>
    <w:rsid w:val="00C41C83"/>
    <w:rsid w:val="00C42389"/>
    <w:rsid w:val="00C4261B"/>
    <w:rsid w:val="00C429C2"/>
    <w:rsid w:val="00C43D22"/>
    <w:rsid w:val="00C44065"/>
    <w:rsid w:val="00C44585"/>
    <w:rsid w:val="00C44C31"/>
    <w:rsid w:val="00C45C85"/>
    <w:rsid w:val="00C46D04"/>
    <w:rsid w:val="00C46F77"/>
    <w:rsid w:val="00C5020B"/>
    <w:rsid w:val="00C50A0E"/>
    <w:rsid w:val="00C510E8"/>
    <w:rsid w:val="00C51392"/>
    <w:rsid w:val="00C51647"/>
    <w:rsid w:val="00C518E9"/>
    <w:rsid w:val="00C51FE1"/>
    <w:rsid w:val="00C51FF1"/>
    <w:rsid w:val="00C52131"/>
    <w:rsid w:val="00C558F1"/>
    <w:rsid w:val="00C55C70"/>
    <w:rsid w:val="00C5637E"/>
    <w:rsid w:val="00C565FB"/>
    <w:rsid w:val="00C57147"/>
    <w:rsid w:val="00C57E1B"/>
    <w:rsid w:val="00C57FEE"/>
    <w:rsid w:val="00C601CF"/>
    <w:rsid w:val="00C606EB"/>
    <w:rsid w:val="00C60C83"/>
    <w:rsid w:val="00C6109F"/>
    <w:rsid w:val="00C61E1D"/>
    <w:rsid w:val="00C61FE3"/>
    <w:rsid w:val="00C62520"/>
    <w:rsid w:val="00C62A14"/>
    <w:rsid w:val="00C62B82"/>
    <w:rsid w:val="00C630C2"/>
    <w:rsid w:val="00C63443"/>
    <w:rsid w:val="00C640AE"/>
    <w:rsid w:val="00C6459E"/>
    <w:rsid w:val="00C6490D"/>
    <w:rsid w:val="00C65E1D"/>
    <w:rsid w:val="00C67867"/>
    <w:rsid w:val="00C67E70"/>
    <w:rsid w:val="00C707DA"/>
    <w:rsid w:val="00C71756"/>
    <w:rsid w:val="00C71824"/>
    <w:rsid w:val="00C71D8E"/>
    <w:rsid w:val="00C722E0"/>
    <w:rsid w:val="00C724C3"/>
    <w:rsid w:val="00C72CC3"/>
    <w:rsid w:val="00C72D41"/>
    <w:rsid w:val="00C74689"/>
    <w:rsid w:val="00C74690"/>
    <w:rsid w:val="00C74B28"/>
    <w:rsid w:val="00C74E63"/>
    <w:rsid w:val="00C75303"/>
    <w:rsid w:val="00C759B7"/>
    <w:rsid w:val="00C75C07"/>
    <w:rsid w:val="00C767CE"/>
    <w:rsid w:val="00C77A33"/>
    <w:rsid w:val="00C80467"/>
    <w:rsid w:val="00C80E72"/>
    <w:rsid w:val="00C8137C"/>
    <w:rsid w:val="00C81866"/>
    <w:rsid w:val="00C821FF"/>
    <w:rsid w:val="00C8390B"/>
    <w:rsid w:val="00C8391E"/>
    <w:rsid w:val="00C8409C"/>
    <w:rsid w:val="00C84297"/>
    <w:rsid w:val="00C8519C"/>
    <w:rsid w:val="00C856FF"/>
    <w:rsid w:val="00C857AE"/>
    <w:rsid w:val="00C867D5"/>
    <w:rsid w:val="00C86CB0"/>
    <w:rsid w:val="00C8768D"/>
    <w:rsid w:val="00C87D0C"/>
    <w:rsid w:val="00C87FA1"/>
    <w:rsid w:val="00C904C8"/>
    <w:rsid w:val="00C91066"/>
    <w:rsid w:val="00C91FB2"/>
    <w:rsid w:val="00C93ACF"/>
    <w:rsid w:val="00C93B47"/>
    <w:rsid w:val="00C94A28"/>
    <w:rsid w:val="00C9695E"/>
    <w:rsid w:val="00C97DA5"/>
    <w:rsid w:val="00CA0EA9"/>
    <w:rsid w:val="00CA1012"/>
    <w:rsid w:val="00CA124C"/>
    <w:rsid w:val="00CA1560"/>
    <w:rsid w:val="00CA242A"/>
    <w:rsid w:val="00CA2F9C"/>
    <w:rsid w:val="00CA3138"/>
    <w:rsid w:val="00CA39CC"/>
    <w:rsid w:val="00CA3DD8"/>
    <w:rsid w:val="00CA4368"/>
    <w:rsid w:val="00CA4A8C"/>
    <w:rsid w:val="00CA4AC9"/>
    <w:rsid w:val="00CA4E46"/>
    <w:rsid w:val="00CA5A15"/>
    <w:rsid w:val="00CA5C8C"/>
    <w:rsid w:val="00CA64A8"/>
    <w:rsid w:val="00CA7842"/>
    <w:rsid w:val="00CA79CC"/>
    <w:rsid w:val="00CA79EC"/>
    <w:rsid w:val="00CB015C"/>
    <w:rsid w:val="00CB0B73"/>
    <w:rsid w:val="00CB175D"/>
    <w:rsid w:val="00CB2806"/>
    <w:rsid w:val="00CB2CDC"/>
    <w:rsid w:val="00CB32EF"/>
    <w:rsid w:val="00CB352E"/>
    <w:rsid w:val="00CB3AFE"/>
    <w:rsid w:val="00CB45F8"/>
    <w:rsid w:val="00CB5BA0"/>
    <w:rsid w:val="00CB63D6"/>
    <w:rsid w:val="00CB67B9"/>
    <w:rsid w:val="00CB69BE"/>
    <w:rsid w:val="00CB6E4A"/>
    <w:rsid w:val="00CB7858"/>
    <w:rsid w:val="00CB7953"/>
    <w:rsid w:val="00CB7AEE"/>
    <w:rsid w:val="00CC1141"/>
    <w:rsid w:val="00CC1DB6"/>
    <w:rsid w:val="00CC3436"/>
    <w:rsid w:val="00CC379D"/>
    <w:rsid w:val="00CC381E"/>
    <w:rsid w:val="00CC38EA"/>
    <w:rsid w:val="00CC405F"/>
    <w:rsid w:val="00CC5061"/>
    <w:rsid w:val="00CC555E"/>
    <w:rsid w:val="00CC628B"/>
    <w:rsid w:val="00CC6696"/>
    <w:rsid w:val="00CC7704"/>
    <w:rsid w:val="00CD098A"/>
    <w:rsid w:val="00CD27DF"/>
    <w:rsid w:val="00CD4034"/>
    <w:rsid w:val="00CD4634"/>
    <w:rsid w:val="00CD50A8"/>
    <w:rsid w:val="00CD523B"/>
    <w:rsid w:val="00CD5E90"/>
    <w:rsid w:val="00CE0405"/>
    <w:rsid w:val="00CE044C"/>
    <w:rsid w:val="00CE198B"/>
    <w:rsid w:val="00CE1CF0"/>
    <w:rsid w:val="00CE1E07"/>
    <w:rsid w:val="00CE2498"/>
    <w:rsid w:val="00CE2898"/>
    <w:rsid w:val="00CE2B73"/>
    <w:rsid w:val="00CE2B9E"/>
    <w:rsid w:val="00CE358C"/>
    <w:rsid w:val="00CE5175"/>
    <w:rsid w:val="00CE54AC"/>
    <w:rsid w:val="00CE57B9"/>
    <w:rsid w:val="00CE59FB"/>
    <w:rsid w:val="00CE5D55"/>
    <w:rsid w:val="00CE6112"/>
    <w:rsid w:val="00CE67CC"/>
    <w:rsid w:val="00CE6B0B"/>
    <w:rsid w:val="00CE7BDF"/>
    <w:rsid w:val="00CF0171"/>
    <w:rsid w:val="00CF032C"/>
    <w:rsid w:val="00CF1A24"/>
    <w:rsid w:val="00CF1B50"/>
    <w:rsid w:val="00CF2069"/>
    <w:rsid w:val="00CF24B9"/>
    <w:rsid w:val="00CF2E68"/>
    <w:rsid w:val="00CF382C"/>
    <w:rsid w:val="00CF3DF3"/>
    <w:rsid w:val="00CF4E84"/>
    <w:rsid w:val="00CF561A"/>
    <w:rsid w:val="00CF6130"/>
    <w:rsid w:val="00CF6A41"/>
    <w:rsid w:val="00CF7F65"/>
    <w:rsid w:val="00D01317"/>
    <w:rsid w:val="00D01627"/>
    <w:rsid w:val="00D01CB4"/>
    <w:rsid w:val="00D01E03"/>
    <w:rsid w:val="00D02130"/>
    <w:rsid w:val="00D0223A"/>
    <w:rsid w:val="00D02564"/>
    <w:rsid w:val="00D02B4C"/>
    <w:rsid w:val="00D02B86"/>
    <w:rsid w:val="00D0314E"/>
    <w:rsid w:val="00D03C79"/>
    <w:rsid w:val="00D04898"/>
    <w:rsid w:val="00D04A79"/>
    <w:rsid w:val="00D05AB7"/>
    <w:rsid w:val="00D05C86"/>
    <w:rsid w:val="00D05DFF"/>
    <w:rsid w:val="00D068FC"/>
    <w:rsid w:val="00D0719B"/>
    <w:rsid w:val="00D07687"/>
    <w:rsid w:val="00D07A75"/>
    <w:rsid w:val="00D07ED8"/>
    <w:rsid w:val="00D1015E"/>
    <w:rsid w:val="00D108E4"/>
    <w:rsid w:val="00D10BC0"/>
    <w:rsid w:val="00D11E08"/>
    <w:rsid w:val="00D12931"/>
    <w:rsid w:val="00D145A5"/>
    <w:rsid w:val="00D173F7"/>
    <w:rsid w:val="00D17A4A"/>
    <w:rsid w:val="00D205F7"/>
    <w:rsid w:val="00D20D57"/>
    <w:rsid w:val="00D21215"/>
    <w:rsid w:val="00D21FAD"/>
    <w:rsid w:val="00D2213E"/>
    <w:rsid w:val="00D224AE"/>
    <w:rsid w:val="00D236B4"/>
    <w:rsid w:val="00D23C68"/>
    <w:rsid w:val="00D24360"/>
    <w:rsid w:val="00D246E8"/>
    <w:rsid w:val="00D24D2C"/>
    <w:rsid w:val="00D24D3A"/>
    <w:rsid w:val="00D24E5D"/>
    <w:rsid w:val="00D259DB"/>
    <w:rsid w:val="00D25CB6"/>
    <w:rsid w:val="00D26450"/>
    <w:rsid w:val="00D2735C"/>
    <w:rsid w:val="00D276D6"/>
    <w:rsid w:val="00D27832"/>
    <w:rsid w:val="00D27BBA"/>
    <w:rsid w:val="00D27D32"/>
    <w:rsid w:val="00D3117B"/>
    <w:rsid w:val="00D31D6D"/>
    <w:rsid w:val="00D32409"/>
    <w:rsid w:val="00D32C19"/>
    <w:rsid w:val="00D3312C"/>
    <w:rsid w:val="00D3352A"/>
    <w:rsid w:val="00D348F2"/>
    <w:rsid w:val="00D3529C"/>
    <w:rsid w:val="00D36498"/>
    <w:rsid w:val="00D36B82"/>
    <w:rsid w:val="00D36B91"/>
    <w:rsid w:val="00D37BF7"/>
    <w:rsid w:val="00D400B3"/>
    <w:rsid w:val="00D406D3"/>
    <w:rsid w:val="00D40882"/>
    <w:rsid w:val="00D41697"/>
    <w:rsid w:val="00D41A1A"/>
    <w:rsid w:val="00D41ADB"/>
    <w:rsid w:val="00D41C18"/>
    <w:rsid w:val="00D42E0C"/>
    <w:rsid w:val="00D43DA8"/>
    <w:rsid w:val="00D44772"/>
    <w:rsid w:val="00D4535B"/>
    <w:rsid w:val="00D4668D"/>
    <w:rsid w:val="00D467CF"/>
    <w:rsid w:val="00D46DD8"/>
    <w:rsid w:val="00D478B4"/>
    <w:rsid w:val="00D50A5D"/>
    <w:rsid w:val="00D50CA7"/>
    <w:rsid w:val="00D5101F"/>
    <w:rsid w:val="00D51227"/>
    <w:rsid w:val="00D51C9C"/>
    <w:rsid w:val="00D521CA"/>
    <w:rsid w:val="00D521CC"/>
    <w:rsid w:val="00D527EA"/>
    <w:rsid w:val="00D53BA2"/>
    <w:rsid w:val="00D5572D"/>
    <w:rsid w:val="00D55923"/>
    <w:rsid w:val="00D563CF"/>
    <w:rsid w:val="00D56516"/>
    <w:rsid w:val="00D577C2"/>
    <w:rsid w:val="00D578A7"/>
    <w:rsid w:val="00D57962"/>
    <w:rsid w:val="00D57CBA"/>
    <w:rsid w:val="00D60A26"/>
    <w:rsid w:val="00D60CFF"/>
    <w:rsid w:val="00D612AE"/>
    <w:rsid w:val="00D61B7B"/>
    <w:rsid w:val="00D62F18"/>
    <w:rsid w:val="00D62FED"/>
    <w:rsid w:val="00D65E1B"/>
    <w:rsid w:val="00D65F92"/>
    <w:rsid w:val="00D660E7"/>
    <w:rsid w:val="00D66812"/>
    <w:rsid w:val="00D67261"/>
    <w:rsid w:val="00D702B6"/>
    <w:rsid w:val="00D71AD6"/>
    <w:rsid w:val="00D71F9C"/>
    <w:rsid w:val="00D72753"/>
    <w:rsid w:val="00D73550"/>
    <w:rsid w:val="00D75A62"/>
    <w:rsid w:val="00D76143"/>
    <w:rsid w:val="00D76539"/>
    <w:rsid w:val="00D766BA"/>
    <w:rsid w:val="00D769F7"/>
    <w:rsid w:val="00D77749"/>
    <w:rsid w:val="00D77D19"/>
    <w:rsid w:val="00D8034C"/>
    <w:rsid w:val="00D80F87"/>
    <w:rsid w:val="00D81D77"/>
    <w:rsid w:val="00D81F8E"/>
    <w:rsid w:val="00D82782"/>
    <w:rsid w:val="00D828FE"/>
    <w:rsid w:val="00D82C86"/>
    <w:rsid w:val="00D83191"/>
    <w:rsid w:val="00D8370D"/>
    <w:rsid w:val="00D83DC2"/>
    <w:rsid w:val="00D84074"/>
    <w:rsid w:val="00D84D42"/>
    <w:rsid w:val="00D84E69"/>
    <w:rsid w:val="00D861AA"/>
    <w:rsid w:val="00D8672C"/>
    <w:rsid w:val="00D869FE"/>
    <w:rsid w:val="00D86A8B"/>
    <w:rsid w:val="00D8726C"/>
    <w:rsid w:val="00D90132"/>
    <w:rsid w:val="00D903EB"/>
    <w:rsid w:val="00D90712"/>
    <w:rsid w:val="00D907A0"/>
    <w:rsid w:val="00D90DD4"/>
    <w:rsid w:val="00D91187"/>
    <w:rsid w:val="00D914E0"/>
    <w:rsid w:val="00D92474"/>
    <w:rsid w:val="00D92A1D"/>
    <w:rsid w:val="00D9346C"/>
    <w:rsid w:val="00D938D2"/>
    <w:rsid w:val="00D93B74"/>
    <w:rsid w:val="00D93ED6"/>
    <w:rsid w:val="00D94AA6"/>
    <w:rsid w:val="00D94DE1"/>
    <w:rsid w:val="00D953BF"/>
    <w:rsid w:val="00D957EC"/>
    <w:rsid w:val="00DA0D51"/>
    <w:rsid w:val="00DA20A1"/>
    <w:rsid w:val="00DA23F0"/>
    <w:rsid w:val="00DA2A1D"/>
    <w:rsid w:val="00DA2E9F"/>
    <w:rsid w:val="00DA3435"/>
    <w:rsid w:val="00DA3A4F"/>
    <w:rsid w:val="00DA4C3D"/>
    <w:rsid w:val="00DA50D5"/>
    <w:rsid w:val="00DA54FF"/>
    <w:rsid w:val="00DA56D7"/>
    <w:rsid w:val="00DA5CAC"/>
    <w:rsid w:val="00DA661E"/>
    <w:rsid w:val="00DA6FB6"/>
    <w:rsid w:val="00DA736E"/>
    <w:rsid w:val="00DA73B6"/>
    <w:rsid w:val="00DA7485"/>
    <w:rsid w:val="00DA7737"/>
    <w:rsid w:val="00DA7925"/>
    <w:rsid w:val="00DA7A0F"/>
    <w:rsid w:val="00DB084E"/>
    <w:rsid w:val="00DB09F3"/>
    <w:rsid w:val="00DB11E6"/>
    <w:rsid w:val="00DB1603"/>
    <w:rsid w:val="00DB163B"/>
    <w:rsid w:val="00DB1778"/>
    <w:rsid w:val="00DB1D49"/>
    <w:rsid w:val="00DB1E20"/>
    <w:rsid w:val="00DB21AC"/>
    <w:rsid w:val="00DB2324"/>
    <w:rsid w:val="00DB3B15"/>
    <w:rsid w:val="00DB3BBE"/>
    <w:rsid w:val="00DB3EA8"/>
    <w:rsid w:val="00DB410A"/>
    <w:rsid w:val="00DB42F4"/>
    <w:rsid w:val="00DB42F5"/>
    <w:rsid w:val="00DB46BD"/>
    <w:rsid w:val="00DB5A0B"/>
    <w:rsid w:val="00DB62C9"/>
    <w:rsid w:val="00DB62EC"/>
    <w:rsid w:val="00DB6799"/>
    <w:rsid w:val="00DB6A21"/>
    <w:rsid w:val="00DB6E22"/>
    <w:rsid w:val="00DB7626"/>
    <w:rsid w:val="00DB7927"/>
    <w:rsid w:val="00DC0083"/>
    <w:rsid w:val="00DC0798"/>
    <w:rsid w:val="00DC08FC"/>
    <w:rsid w:val="00DC0956"/>
    <w:rsid w:val="00DC0E5D"/>
    <w:rsid w:val="00DC17B4"/>
    <w:rsid w:val="00DC1A41"/>
    <w:rsid w:val="00DC2148"/>
    <w:rsid w:val="00DC272A"/>
    <w:rsid w:val="00DC2DEC"/>
    <w:rsid w:val="00DC3CE9"/>
    <w:rsid w:val="00DC4842"/>
    <w:rsid w:val="00DC4923"/>
    <w:rsid w:val="00DC4E74"/>
    <w:rsid w:val="00DC5797"/>
    <w:rsid w:val="00DC6775"/>
    <w:rsid w:val="00DC681E"/>
    <w:rsid w:val="00DC69C8"/>
    <w:rsid w:val="00DC70E0"/>
    <w:rsid w:val="00DC739B"/>
    <w:rsid w:val="00DC75CE"/>
    <w:rsid w:val="00DC7962"/>
    <w:rsid w:val="00DD05F2"/>
    <w:rsid w:val="00DD060C"/>
    <w:rsid w:val="00DD0AC3"/>
    <w:rsid w:val="00DD0E3E"/>
    <w:rsid w:val="00DD0FF8"/>
    <w:rsid w:val="00DD12E3"/>
    <w:rsid w:val="00DD2B75"/>
    <w:rsid w:val="00DD2CEC"/>
    <w:rsid w:val="00DD31E1"/>
    <w:rsid w:val="00DD3D3F"/>
    <w:rsid w:val="00DD3E24"/>
    <w:rsid w:val="00DD42F0"/>
    <w:rsid w:val="00DD45A1"/>
    <w:rsid w:val="00DD4613"/>
    <w:rsid w:val="00DD574D"/>
    <w:rsid w:val="00DD5C34"/>
    <w:rsid w:val="00DD5C83"/>
    <w:rsid w:val="00DD5E72"/>
    <w:rsid w:val="00DD6BAA"/>
    <w:rsid w:val="00DD6D7C"/>
    <w:rsid w:val="00DD6FAD"/>
    <w:rsid w:val="00DD713F"/>
    <w:rsid w:val="00DE015C"/>
    <w:rsid w:val="00DE0337"/>
    <w:rsid w:val="00DE1286"/>
    <w:rsid w:val="00DE2B7E"/>
    <w:rsid w:val="00DE2C25"/>
    <w:rsid w:val="00DE2C60"/>
    <w:rsid w:val="00DE3099"/>
    <w:rsid w:val="00DE327B"/>
    <w:rsid w:val="00DE3345"/>
    <w:rsid w:val="00DE3AB8"/>
    <w:rsid w:val="00DE3F01"/>
    <w:rsid w:val="00DE465D"/>
    <w:rsid w:val="00DE5543"/>
    <w:rsid w:val="00DE564A"/>
    <w:rsid w:val="00DE5718"/>
    <w:rsid w:val="00DE5C8F"/>
    <w:rsid w:val="00DE5F3B"/>
    <w:rsid w:val="00DE614F"/>
    <w:rsid w:val="00DE6392"/>
    <w:rsid w:val="00DE64F9"/>
    <w:rsid w:val="00DF02B5"/>
    <w:rsid w:val="00DF0930"/>
    <w:rsid w:val="00DF1004"/>
    <w:rsid w:val="00DF1167"/>
    <w:rsid w:val="00DF1868"/>
    <w:rsid w:val="00DF1A5B"/>
    <w:rsid w:val="00DF213A"/>
    <w:rsid w:val="00DF2940"/>
    <w:rsid w:val="00DF294E"/>
    <w:rsid w:val="00DF39B5"/>
    <w:rsid w:val="00DF3DE7"/>
    <w:rsid w:val="00DF4EAF"/>
    <w:rsid w:val="00DF4FC7"/>
    <w:rsid w:val="00DF5001"/>
    <w:rsid w:val="00DF66ED"/>
    <w:rsid w:val="00DF67DF"/>
    <w:rsid w:val="00DF6BD2"/>
    <w:rsid w:val="00DF6FDF"/>
    <w:rsid w:val="00DF7085"/>
    <w:rsid w:val="00DF714A"/>
    <w:rsid w:val="00DF74D2"/>
    <w:rsid w:val="00DF7CC6"/>
    <w:rsid w:val="00DF7FFB"/>
    <w:rsid w:val="00E00854"/>
    <w:rsid w:val="00E010A7"/>
    <w:rsid w:val="00E02390"/>
    <w:rsid w:val="00E02717"/>
    <w:rsid w:val="00E02800"/>
    <w:rsid w:val="00E02B8F"/>
    <w:rsid w:val="00E02C6D"/>
    <w:rsid w:val="00E0327E"/>
    <w:rsid w:val="00E03C76"/>
    <w:rsid w:val="00E0473A"/>
    <w:rsid w:val="00E04864"/>
    <w:rsid w:val="00E049A7"/>
    <w:rsid w:val="00E04EFD"/>
    <w:rsid w:val="00E05468"/>
    <w:rsid w:val="00E068B3"/>
    <w:rsid w:val="00E069C7"/>
    <w:rsid w:val="00E079E1"/>
    <w:rsid w:val="00E07AC7"/>
    <w:rsid w:val="00E07BBD"/>
    <w:rsid w:val="00E11463"/>
    <w:rsid w:val="00E117D0"/>
    <w:rsid w:val="00E118EC"/>
    <w:rsid w:val="00E12B24"/>
    <w:rsid w:val="00E1313E"/>
    <w:rsid w:val="00E136FE"/>
    <w:rsid w:val="00E138B0"/>
    <w:rsid w:val="00E13F03"/>
    <w:rsid w:val="00E13F2D"/>
    <w:rsid w:val="00E140AF"/>
    <w:rsid w:val="00E1555E"/>
    <w:rsid w:val="00E16837"/>
    <w:rsid w:val="00E16986"/>
    <w:rsid w:val="00E16ABB"/>
    <w:rsid w:val="00E17E37"/>
    <w:rsid w:val="00E209A2"/>
    <w:rsid w:val="00E20C72"/>
    <w:rsid w:val="00E20EC5"/>
    <w:rsid w:val="00E2137F"/>
    <w:rsid w:val="00E214F9"/>
    <w:rsid w:val="00E22077"/>
    <w:rsid w:val="00E22CE1"/>
    <w:rsid w:val="00E22EEF"/>
    <w:rsid w:val="00E22F01"/>
    <w:rsid w:val="00E23609"/>
    <w:rsid w:val="00E2385A"/>
    <w:rsid w:val="00E24446"/>
    <w:rsid w:val="00E2519D"/>
    <w:rsid w:val="00E2554B"/>
    <w:rsid w:val="00E25826"/>
    <w:rsid w:val="00E25AB2"/>
    <w:rsid w:val="00E25AE3"/>
    <w:rsid w:val="00E25F2A"/>
    <w:rsid w:val="00E261D5"/>
    <w:rsid w:val="00E26581"/>
    <w:rsid w:val="00E2672F"/>
    <w:rsid w:val="00E26867"/>
    <w:rsid w:val="00E26AF1"/>
    <w:rsid w:val="00E26EDF"/>
    <w:rsid w:val="00E30613"/>
    <w:rsid w:val="00E307FA"/>
    <w:rsid w:val="00E31125"/>
    <w:rsid w:val="00E3143C"/>
    <w:rsid w:val="00E33283"/>
    <w:rsid w:val="00E3548E"/>
    <w:rsid w:val="00E361A8"/>
    <w:rsid w:val="00E369DB"/>
    <w:rsid w:val="00E36B7B"/>
    <w:rsid w:val="00E36C59"/>
    <w:rsid w:val="00E37EFE"/>
    <w:rsid w:val="00E407E7"/>
    <w:rsid w:val="00E41ACA"/>
    <w:rsid w:val="00E423DC"/>
    <w:rsid w:val="00E42711"/>
    <w:rsid w:val="00E42D1C"/>
    <w:rsid w:val="00E4429F"/>
    <w:rsid w:val="00E44384"/>
    <w:rsid w:val="00E454D6"/>
    <w:rsid w:val="00E4581F"/>
    <w:rsid w:val="00E45837"/>
    <w:rsid w:val="00E46740"/>
    <w:rsid w:val="00E47307"/>
    <w:rsid w:val="00E50834"/>
    <w:rsid w:val="00E50881"/>
    <w:rsid w:val="00E513EF"/>
    <w:rsid w:val="00E526E5"/>
    <w:rsid w:val="00E52AD4"/>
    <w:rsid w:val="00E53172"/>
    <w:rsid w:val="00E532FB"/>
    <w:rsid w:val="00E534A3"/>
    <w:rsid w:val="00E53750"/>
    <w:rsid w:val="00E53BD6"/>
    <w:rsid w:val="00E54812"/>
    <w:rsid w:val="00E54F27"/>
    <w:rsid w:val="00E55258"/>
    <w:rsid w:val="00E553B5"/>
    <w:rsid w:val="00E5546A"/>
    <w:rsid w:val="00E562AB"/>
    <w:rsid w:val="00E56453"/>
    <w:rsid w:val="00E5797E"/>
    <w:rsid w:val="00E57BA5"/>
    <w:rsid w:val="00E57C5B"/>
    <w:rsid w:val="00E60994"/>
    <w:rsid w:val="00E60CAF"/>
    <w:rsid w:val="00E60F06"/>
    <w:rsid w:val="00E61671"/>
    <w:rsid w:val="00E617AE"/>
    <w:rsid w:val="00E618A7"/>
    <w:rsid w:val="00E61992"/>
    <w:rsid w:val="00E61BA8"/>
    <w:rsid w:val="00E61C09"/>
    <w:rsid w:val="00E61F70"/>
    <w:rsid w:val="00E62D16"/>
    <w:rsid w:val="00E630AA"/>
    <w:rsid w:val="00E63545"/>
    <w:rsid w:val="00E63A7D"/>
    <w:rsid w:val="00E6467C"/>
    <w:rsid w:val="00E6499E"/>
    <w:rsid w:val="00E6578D"/>
    <w:rsid w:val="00E65B23"/>
    <w:rsid w:val="00E666AB"/>
    <w:rsid w:val="00E666EA"/>
    <w:rsid w:val="00E67F3E"/>
    <w:rsid w:val="00E67F91"/>
    <w:rsid w:val="00E701C4"/>
    <w:rsid w:val="00E70C9D"/>
    <w:rsid w:val="00E71833"/>
    <w:rsid w:val="00E72515"/>
    <w:rsid w:val="00E72BE4"/>
    <w:rsid w:val="00E734FE"/>
    <w:rsid w:val="00E73794"/>
    <w:rsid w:val="00E7454A"/>
    <w:rsid w:val="00E74E37"/>
    <w:rsid w:val="00E75486"/>
    <w:rsid w:val="00E75578"/>
    <w:rsid w:val="00E756B8"/>
    <w:rsid w:val="00E76738"/>
    <w:rsid w:val="00E767F7"/>
    <w:rsid w:val="00E772EB"/>
    <w:rsid w:val="00E77581"/>
    <w:rsid w:val="00E7772F"/>
    <w:rsid w:val="00E7774D"/>
    <w:rsid w:val="00E778B0"/>
    <w:rsid w:val="00E80369"/>
    <w:rsid w:val="00E8106B"/>
    <w:rsid w:val="00E81143"/>
    <w:rsid w:val="00E8151F"/>
    <w:rsid w:val="00E8173E"/>
    <w:rsid w:val="00E8272D"/>
    <w:rsid w:val="00E82E69"/>
    <w:rsid w:val="00E82F4A"/>
    <w:rsid w:val="00E83126"/>
    <w:rsid w:val="00E83405"/>
    <w:rsid w:val="00E83532"/>
    <w:rsid w:val="00E83DE8"/>
    <w:rsid w:val="00E83DEE"/>
    <w:rsid w:val="00E83E5D"/>
    <w:rsid w:val="00E83FCE"/>
    <w:rsid w:val="00E84FB5"/>
    <w:rsid w:val="00E85810"/>
    <w:rsid w:val="00E86086"/>
    <w:rsid w:val="00E8611E"/>
    <w:rsid w:val="00E8719E"/>
    <w:rsid w:val="00E872DB"/>
    <w:rsid w:val="00E874F3"/>
    <w:rsid w:val="00E8790B"/>
    <w:rsid w:val="00E87C4A"/>
    <w:rsid w:val="00E90AF8"/>
    <w:rsid w:val="00E90D71"/>
    <w:rsid w:val="00E91581"/>
    <w:rsid w:val="00E91647"/>
    <w:rsid w:val="00E93311"/>
    <w:rsid w:val="00E933EC"/>
    <w:rsid w:val="00E93514"/>
    <w:rsid w:val="00E9370F"/>
    <w:rsid w:val="00E9432E"/>
    <w:rsid w:val="00E943EB"/>
    <w:rsid w:val="00E95D40"/>
    <w:rsid w:val="00E964CE"/>
    <w:rsid w:val="00E96F03"/>
    <w:rsid w:val="00E9724D"/>
    <w:rsid w:val="00E97840"/>
    <w:rsid w:val="00EA00C1"/>
    <w:rsid w:val="00EA0258"/>
    <w:rsid w:val="00EA1ED2"/>
    <w:rsid w:val="00EA3E21"/>
    <w:rsid w:val="00EA41A6"/>
    <w:rsid w:val="00EA4653"/>
    <w:rsid w:val="00EA4733"/>
    <w:rsid w:val="00EA4B94"/>
    <w:rsid w:val="00EA5758"/>
    <w:rsid w:val="00EA5871"/>
    <w:rsid w:val="00EA5B43"/>
    <w:rsid w:val="00EA5D5E"/>
    <w:rsid w:val="00EA5F60"/>
    <w:rsid w:val="00EA622B"/>
    <w:rsid w:val="00EA643F"/>
    <w:rsid w:val="00EA6509"/>
    <w:rsid w:val="00EA67A1"/>
    <w:rsid w:val="00EA6A8D"/>
    <w:rsid w:val="00EA75D7"/>
    <w:rsid w:val="00EA77B4"/>
    <w:rsid w:val="00EB067E"/>
    <w:rsid w:val="00EB17E6"/>
    <w:rsid w:val="00EB19CF"/>
    <w:rsid w:val="00EB1ECC"/>
    <w:rsid w:val="00EB2ADC"/>
    <w:rsid w:val="00EB2F12"/>
    <w:rsid w:val="00EB32B8"/>
    <w:rsid w:val="00EB37AB"/>
    <w:rsid w:val="00EB3FF2"/>
    <w:rsid w:val="00EB44B5"/>
    <w:rsid w:val="00EB48D1"/>
    <w:rsid w:val="00EB51AB"/>
    <w:rsid w:val="00EB53E7"/>
    <w:rsid w:val="00EB5F42"/>
    <w:rsid w:val="00EB607C"/>
    <w:rsid w:val="00EB6AE5"/>
    <w:rsid w:val="00EC04E3"/>
    <w:rsid w:val="00EC0527"/>
    <w:rsid w:val="00EC089E"/>
    <w:rsid w:val="00EC1081"/>
    <w:rsid w:val="00EC1222"/>
    <w:rsid w:val="00EC14E8"/>
    <w:rsid w:val="00EC19F3"/>
    <w:rsid w:val="00EC280A"/>
    <w:rsid w:val="00EC2956"/>
    <w:rsid w:val="00EC2AE0"/>
    <w:rsid w:val="00EC3077"/>
    <w:rsid w:val="00EC3965"/>
    <w:rsid w:val="00EC3EC1"/>
    <w:rsid w:val="00EC4A2D"/>
    <w:rsid w:val="00EC4AC4"/>
    <w:rsid w:val="00EC50E6"/>
    <w:rsid w:val="00EC585E"/>
    <w:rsid w:val="00EC5E6C"/>
    <w:rsid w:val="00EC7427"/>
    <w:rsid w:val="00ED07A9"/>
    <w:rsid w:val="00ED0B77"/>
    <w:rsid w:val="00ED0F20"/>
    <w:rsid w:val="00ED1948"/>
    <w:rsid w:val="00ED1FA0"/>
    <w:rsid w:val="00ED2230"/>
    <w:rsid w:val="00ED23C0"/>
    <w:rsid w:val="00ED339F"/>
    <w:rsid w:val="00ED3E6B"/>
    <w:rsid w:val="00ED3F83"/>
    <w:rsid w:val="00ED40FC"/>
    <w:rsid w:val="00ED52C8"/>
    <w:rsid w:val="00ED5D91"/>
    <w:rsid w:val="00ED6844"/>
    <w:rsid w:val="00ED6CEE"/>
    <w:rsid w:val="00ED6D98"/>
    <w:rsid w:val="00ED6F1E"/>
    <w:rsid w:val="00ED7388"/>
    <w:rsid w:val="00ED7F09"/>
    <w:rsid w:val="00EE0573"/>
    <w:rsid w:val="00EE0B65"/>
    <w:rsid w:val="00EE2022"/>
    <w:rsid w:val="00EE3A98"/>
    <w:rsid w:val="00EE4688"/>
    <w:rsid w:val="00EE6201"/>
    <w:rsid w:val="00EE64B4"/>
    <w:rsid w:val="00EE69C9"/>
    <w:rsid w:val="00EE6E35"/>
    <w:rsid w:val="00EE7792"/>
    <w:rsid w:val="00EE7A9C"/>
    <w:rsid w:val="00EF1F46"/>
    <w:rsid w:val="00EF2CFF"/>
    <w:rsid w:val="00EF31C4"/>
    <w:rsid w:val="00EF3240"/>
    <w:rsid w:val="00EF3539"/>
    <w:rsid w:val="00EF37A8"/>
    <w:rsid w:val="00EF38EA"/>
    <w:rsid w:val="00EF392A"/>
    <w:rsid w:val="00EF4CB1"/>
    <w:rsid w:val="00EF5657"/>
    <w:rsid w:val="00EF5DCB"/>
    <w:rsid w:val="00EF67CE"/>
    <w:rsid w:val="00EF6EB9"/>
    <w:rsid w:val="00F0095F"/>
    <w:rsid w:val="00F016EF"/>
    <w:rsid w:val="00F027F6"/>
    <w:rsid w:val="00F02DEC"/>
    <w:rsid w:val="00F02EB8"/>
    <w:rsid w:val="00F032F2"/>
    <w:rsid w:val="00F0355D"/>
    <w:rsid w:val="00F037C8"/>
    <w:rsid w:val="00F03E6C"/>
    <w:rsid w:val="00F042F3"/>
    <w:rsid w:val="00F0460E"/>
    <w:rsid w:val="00F07596"/>
    <w:rsid w:val="00F07A38"/>
    <w:rsid w:val="00F07D0D"/>
    <w:rsid w:val="00F10EA7"/>
    <w:rsid w:val="00F114DD"/>
    <w:rsid w:val="00F11792"/>
    <w:rsid w:val="00F118C1"/>
    <w:rsid w:val="00F11944"/>
    <w:rsid w:val="00F11EFE"/>
    <w:rsid w:val="00F120E6"/>
    <w:rsid w:val="00F122AF"/>
    <w:rsid w:val="00F1275E"/>
    <w:rsid w:val="00F12A69"/>
    <w:rsid w:val="00F1321B"/>
    <w:rsid w:val="00F141D0"/>
    <w:rsid w:val="00F169D3"/>
    <w:rsid w:val="00F16C8F"/>
    <w:rsid w:val="00F16E4F"/>
    <w:rsid w:val="00F1751C"/>
    <w:rsid w:val="00F20666"/>
    <w:rsid w:val="00F20AAC"/>
    <w:rsid w:val="00F20D03"/>
    <w:rsid w:val="00F2149D"/>
    <w:rsid w:val="00F21747"/>
    <w:rsid w:val="00F22307"/>
    <w:rsid w:val="00F224F1"/>
    <w:rsid w:val="00F231E3"/>
    <w:rsid w:val="00F238DB"/>
    <w:rsid w:val="00F23DF8"/>
    <w:rsid w:val="00F256C8"/>
    <w:rsid w:val="00F26957"/>
    <w:rsid w:val="00F26F9D"/>
    <w:rsid w:val="00F2744E"/>
    <w:rsid w:val="00F27668"/>
    <w:rsid w:val="00F27764"/>
    <w:rsid w:val="00F278E9"/>
    <w:rsid w:val="00F27AD7"/>
    <w:rsid w:val="00F30780"/>
    <w:rsid w:val="00F30B8C"/>
    <w:rsid w:val="00F30FF7"/>
    <w:rsid w:val="00F3106E"/>
    <w:rsid w:val="00F3119E"/>
    <w:rsid w:val="00F32EAB"/>
    <w:rsid w:val="00F335A1"/>
    <w:rsid w:val="00F33783"/>
    <w:rsid w:val="00F33E3A"/>
    <w:rsid w:val="00F342D0"/>
    <w:rsid w:val="00F347C9"/>
    <w:rsid w:val="00F35007"/>
    <w:rsid w:val="00F350E9"/>
    <w:rsid w:val="00F352A7"/>
    <w:rsid w:val="00F35E03"/>
    <w:rsid w:val="00F36C4F"/>
    <w:rsid w:val="00F37E04"/>
    <w:rsid w:val="00F40E15"/>
    <w:rsid w:val="00F41174"/>
    <w:rsid w:val="00F4174B"/>
    <w:rsid w:val="00F429EC"/>
    <w:rsid w:val="00F439D7"/>
    <w:rsid w:val="00F43F4F"/>
    <w:rsid w:val="00F44D6C"/>
    <w:rsid w:val="00F45218"/>
    <w:rsid w:val="00F45B81"/>
    <w:rsid w:val="00F45D3A"/>
    <w:rsid w:val="00F45DEC"/>
    <w:rsid w:val="00F46230"/>
    <w:rsid w:val="00F46F70"/>
    <w:rsid w:val="00F47025"/>
    <w:rsid w:val="00F47590"/>
    <w:rsid w:val="00F513C9"/>
    <w:rsid w:val="00F52872"/>
    <w:rsid w:val="00F52A49"/>
    <w:rsid w:val="00F5347A"/>
    <w:rsid w:val="00F54474"/>
    <w:rsid w:val="00F54D40"/>
    <w:rsid w:val="00F55111"/>
    <w:rsid w:val="00F555E1"/>
    <w:rsid w:val="00F559C4"/>
    <w:rsid w:val="00F56E76"/>
    <w:rsid w:val="00F571CB"/>
    <w:rsid w:val="00F57A4F"/>
    <w:rsid w:val="00F60F6D"/>
    <w:rsid w:val="00F61213"/>
    <w:rsid w:val="00F626D9"/>
    <w:rsid w:val="00F62B4A"/>
    <w:rsid w:val="00F6321F"/>
    <w:rsid w:val="00F63392"/>
    <w:rsid w:val="00F63495"/>
    <w:rsid w:val="00F63E9F"/>
    <w:rsid w:val="00F64212"/>
    <w:rsid w:val="00F64423"/>
    <w:rsid w:val="00F671A6"/>
    <w:rsid w:val="00F67419"/>
    <w:rsid w:val="00F67747"/>
    <w:rsid w:val="00F6774B"/>
    <w:rsid w:val="00F67971"/>
    <w:rsid w:val="00F67B4B"/>
    <w:rsid w:val="00F70C4C"/>
    <w:rsid w:val="00F70DC3"/>
    <w:rsid w:val="00F70E18"/>
    <w:rsid w:val="00F71530"/>
    <w:rsid w:val="00F71F59"/>
    <w:rsid w:val="00F7263E"/>
    <w:rsid w:val="00F7317D"/>
    <w:rsid w:val="00F731B4"/>
    <w:rsid w:val="00F740B3"/>
    <w:rsid w:val="00F757C2"/>
    <w:rsid w:val="00F75976"/>
    <w:rsid w:val="00F76A4D"/>
    <w:rsid w:val="00F778C5"/>
    <w:rsid w:val="00F77DFB"/>
    <w:rsid w:val="00F80E51"/>
    <w:rsid w:val="00F80F55"/>
    <w:rsid w:val="00F8108D"/>
    <w:rsid w:val="00F81231"/>
    <w:rsid w:val="00F82701"/>
    <w:rsid w:val="00F82DEB"/>
    <w:rsid w:val="00F835E6"/>
    <w:rsid w:val="00F844B6"/>
    <w:rsid w:val="00F85568"/>
    <w:rsid w:val="00F87052"/>
    <w:rsid w:val="00F8747D"/>
    <w:rsid w:val="00F9035C"/>
    <w:rsid w:val="00F903DA"/>
    <w:rsid w:val="00F90AC3"/>
    <w:rsid w:val="00F910A1"/>
    <w:rsid w:val="00F915F8"/>
    <w:rsid w:val="00F925EC"/>
    <w:rsid w:val="00F92752"/>
    <w:rsid w:val="00F92812"/>
    <w:rsid w:val="00F92F52"/>
    <w:rsid w:val="00F930BA"/>
    <w:rsid w:val="00F936B0"/>
    <w:rsid w:val="00F93AF4"/>
    <w:rsid w:val="00F93D8D"/>
    <w:rsid w:val="00F93DE7"/>
    <w:rsid w:val="00F9429F"/>
    <w:rsid w:val="00F94BC4"/>
    <w:rsid w:val="00F95591"/>
    <w:rsid w:val="00F96092"/>
    <w:rsid w:val="00F97127"/>
    <w:rsid w:val="00F9727A"/>
    <w:rsid w:val="00FA0237"/>
    <w:rsid w:val="00FA052E"/>
    <w:rsid w:val="00FA151D"/>
    <w:rsid w:val="00FA2D16"/>
    <w:rsid w:val="00FA2DC3"/>
    <w:rsid w:val="00FA2F3B"/>
    <w:rsid w:val="00FA32E1"/>
    <w:rsid w:val="00FA382D"/>
    <w:rsid w:val="00FA4063"/>
    <w:rsid w:val="00FA42E0"/>
    <w:rsid w:val="00FA432F"/>
    <w:rsid w:val="00FA568D"/>
    <w:rsid w:val="00FA62BA"/>
    <w:rsid w:val="00FA653A"/>
    <w:rsid w:val="00FA6718"/>
    <w:rsid w:val="00FA7601"/>
    <w:rsid w:val="00FA7CAB"/>
    <w:rsid w:val="00FB02F6"/>
    <w:rsid w:val="00FB0BCF"/>
    <w:rsid w:val="00FB1635"/>
    <w:rsid w:val="00FB169E"/>
    <w:rsid w:val="00FB18A1"/>
    <w:rsid w:val="00FB2383"/>
    <w:rsid w:val="00FB25CB"/>
    <w:rsid w:val="00FB26C1"/>
    <w:rsid w:val="00FB4023"/>
    <w:rsid w:val="00FB48F4"/>
    <w:rsid w:val="00FB4A64"/>
    <w:rsid w:val="00FB6B98"/>
    <w:rsid w:val="00FB7034"/>
    <w:rsid w:val="00FB76E6"/>
    <w:rsid w:val="00FC02CE"/>
    <w:rsid w:val="00FC1234"/>
    <w:rsid w:val="00FC167A"/>
    <w:rsid w:val="00FC1FDC"/>
    <w:rsid w:val="00FC3634"/>
    <w:rsid w:val="00FC38CE"/>
    <w:rsid w:val="00FC3DCD"/>
    <w:rsid w:val="00FC4264"/>
    <w:rsid w:val="00FC4B01"/>
    <w:rsid w:val="00FC54EE"/>
    <w:rsid w:val="00FC5637"/>
    <w:rsid w:val="00FC58C5"/>
    <w:rsid w:val="00FC6215"/>
    <w:rsid w:val="00FC6403"/>
    <w:rsid w:val="00FC6642"/>
    <w:rsid w:val="00FC75BD"/>
    <w:rsid w:val="00FC78B4"/>
    <w:rsid w:val="00FC7C1E"/>
    <w:rsid w:val="00FD1202"/>
    <w:rsid w:val="00FD1523"/>
    <w:rsid w:val="00FD17DB"/>
    <w:rsid w:val="00FD1D26"/>
    <w:rsid w:val="00FD28AA"/>
    <w:rsid w:val="00FD2FD5"/>
    <w:rsid w:val="00FD3EA1"/>
    <w:rsid w:val="00FD45D4"/>
    <w:rsid w:val="00FD46AD"/>
    <w:rsid w:val="00FD5371"/>
    <w:rsid w:val="00FD6062"/>
    <w:rsid w:val="00FD7220"/>
    <w:rsid w:val="00FE10C0"/>
    <w:rsid w:val="00FE1263"/>
    <w:rsid w:val="00FE193B"/>
    <w:rsid w:val="00FE2F76"/>
    <w:rsid w:val="00FE3E31"/>
    <w:rsid w:val="00FE4225"/>
    <w:rsid w:val="00FE4498"/>
    <w:rsid w:val="00FE51D8"/>
    <w:rsid w:val="00FE5D09"/>
    <w:rsid w:val="00FE5E2E"/>
    <w:rsid w:val="00FE64F7"/>
    <w:rsid w:val="00FE6516"/>
    <w:rsid w:val="00FE6D63"/>
    <w:rsid w:val="00FE71E1"/>
    <w:rsid w:val="00FE7E81"/>
    <w:rsid w:val="00FF016D"/>
    <w:rsid w:val="00FF25B0"/>
    <w:rsid w:val="00FF2933"/>
    <w:rsid w:val="00FF3141"/>
    <w:rsid w:val="00FF4502"/>
    <w:rsid w:val="00FF4585"/>
    <w:rsid w:val="00FF4BC0"/>
    <w:rsid w:val="00FF4F61"/>
    <w:rsid w:val="00FF5880"/>
    <w:rsid w:val="00FF5E9E"/>
    <w:rsid w:val="00FF660F"/>
    <w:rsid w:val="00FF6858"/>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A584D"/>
  <w15:chartTrackingRefBased/>
  <w15:docId w15:val="{42C18ECC-E31C-4C92-8475-5F50920B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uiPriority="99"/>
    <w:lsdException w:name="toa heading" w:uiPriority="99"/>
    <w:lsdException w:name="Title" w:qFormat="1"/>
    <w:lsdException w:name="Subtitle" w:qFormat="1"/>
    <w:lsdException w:name="Hyperlink" w:uiPriority="99"/>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F8E"/>
    <w:rPr>
      <w:sz w:val="28"/>
      <w:szCs w:val="24"/>
    </w:rPr>
  </w:style>
  <w:style w:type="paragraph" w:styleId="Heading1">
    <w:name w:val="heading 1"/>
    <w:basedOn w:val="Normal"/>
    <w:next w:val="BodyText"/>
    <w:link w:val="Heading1Char"/>
    <w:qFormat/>
    <w:rsid w:val="00DB62C9"/>
    <w:pPr>
      <w:keepNext/>
      <w:keepLines/>
      <w:numPr>
        <w:numId w:val="3"/>
      </w:numPr>
      <w:spacing w:after="240"/>
      <w:outlineLvl w:val="0"/>
    </w:pPr>
    <w:rPr>
      <w:rFonts w:ascii="Times New Roman Bold" w:hAnsi="Times New Roman Bold"/>
      <w:b/>
      <w:szCs w:val="28"/>
      <w:lang w:val="x-none" w:eastAsia="x-none"/>
    </w:rPr>
  </w:style>
  <w:style w:type="paragraph" w:styleId="Heading2">
    <w:name w:val="heading 2"/>
    <w:basedOn w:val="Normal"/>
    <w:next w:val="BodyText"/>
    <w:qFormat/>
    <w:rsid w:val="00DB62C9"/>
    <w:pPr>
      <w:keepNext/>
      <w:keepLines/>
      <w:numPr>
        <w:ilvl w:val="1"/>
        <w:numId w:val="3"/>
      </w:numPr>
      <w:spacing w:after="240"/>
      <w:outlineLvl w:val="1"/>
    </w:pPr>
    <w:rPr>
      <w:b/>
      <w:szCs w:val="28"/>
    </w:rPr>
  </w:style>
  <w:style w:type="paragraph" w:styleId="Heading3">
    <w:name w:val="heading 3"/>
    <w:basedOn w:val="Normal"/>
    <w:next w:val="BodyText"/>
    <w:qFormat/>
    <w:rsid w:val="009F6AAF"/>
    <w:pPr>
      <w:keepNext/>
      <w:keepLines/>
      <w:numPr>
        <w:ilvl w:val="2"/>
        <w:numId w:val="3"/>
      </w:numPr>
      <w:spacing w:after="240"/>
      <w:outlineLvl w:val="2"/>
    </w:pPr>
    <w:rPr>
      <w:b/>
      <w:szCs w:val="28"/>
    </w:rPr>
  </w:style>
  <w:style w:type="paragraph" w:styleId="Heading4">
    <w:name w:val="heading 4"/>
    <w:basedOn w:val="Normal"/>
    <w:next w:val="BodyText"/>
    <w:qFormat/>
    <w:rsid w:val="00945F8E"/>
    <w:pPr>
      <w:numPr>
        <w:ilvl w:val="3"/>
        <w:numId w:val="3"/>
      </w:numPr>
      <w:spacing w:after="240"/>
      <w:outlineLvl w:val="3"/>
    </w:pPr>
    <w:rPr>
      <w:b/>
    </w:rPr>
  </w:style>
  <w:style w:type="paragraph" w:styleId="Heading5">
    <w:name w:val="heading 5"/>
    <w:basedOn w:val="Normal"/>
    <w:next w:val="BodyText"/>
    <w:link w:val="Heading5Char"/>
    <w:qFormat/>
    <w:rsid w:val="00DB62C9"/>
    <w:pPr>
      <w:numPr>
        <w:ilvl w:val="4"/>
        <w:numId w:val="3"/>
      </w:numPr>
      <w:spacing w:after="240"/>
      <w:outlineLvl w:val="4"/>
    </w:pPr>
    <w:rPr>
      <w:lang w:val="x-none" w:eastAsia="x-none"/>
    </w:rPr>
  </w:style>
  <w:style w:type="paragraph" w:styleId="Heading6">
    <w:name w:val="heading 6"/>
    <w:basedOn w:val="Normal"/>
    <w:next w:val="BodyText"/>
    <w:qFormat/>
    <w:rsid w:val="00DB62C9"/>
    <w:pPr>
      <w:numPr>
        <w:ilvl w:val="5"/>
        <w:numId w:val="3"/>
      </w:numPr>
      <w:spacing w:after="240"/>
      <w:outlineLvl w:val="5"/>
    </w:pPr>
  </w:style>
  <w:style w:type="paragraph" w:styleId="Heading7">
    <w:name w:val="heading 7"/>
    <w:basedOn w:val="Normal"/>
    <w:next w:val="BodyText"/>
    <w:qFormat/>
    <w:rsid w:val="00DB62C9"/>
    <w:pPr>
      <w:numPr>
        <w:ilvl w:val="6"/>
        <w:numId w:val="3"/>
      </w:numPr>
      <w:spacing w:after="240"/>
      <w:outlineLvl w:val="6"/>
    </w:pPr>
  </w:style>
  <w:style w:type="paragraph" w:styleId="Heading8">
    <w:name w:val="heading 8"/>
    <w:basedOn w:val="Normal"/>
    <w:next w:val="BodyText"/>
    <w:qFormat/>
    <w:rsid w:val="00DB62C9"/>
    <w:pPr>
      <w:numPr>
        <w:ilvl w:val="7"/>
        <w:numId w:val="3"/>
      </w:numPr>
      <w:spacing w:after="240"/>
      <w:outlineLvl w:val="7"/>
    </w:pPr>
  </w:style>
  <w:style w:type="paragraph" w:styleId="Heading9">
    <w:name w:val="heading 9"/>
    <w:basedOn w:val="Normal"/>
    <w:next w:val="BodyText"/>
    <w:qFormat/>
    <w:rsid w:val="00DB62C9"/>
    <w:pPr>
      <w:numPr>
        <w:ilvl w:val="8"/>
        <w:numId w:val="3"/>
      </w:numPr>
      <w:spacing w:after="240"/>
      <w:outlineLvl w:val="8"/>
    </w:pPr>
  </w:style>
  <w:style w:type="character" w:default="1" w:styleId="DefaultParagraphFont">
    <w:name w:val="Default Paragraph Font"/>
    <w:semiHidden/>
    <w:rsid w:val="009B3007"/>
    <w:rPr>
      <w:lang w:val="en-US"/>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B3007"/>
  </w:style>
  <w:style w:type="paragraph" w:styleId="Header">
    <w:name w:val="header"/>
    <w:basedOn w:val="Normal"/>
    <w:semiHidden/>
    <w:rsid w:val="009B3007"/>
    <w:pPr>
      <w:tabs>
        <w:tab w:val="center" w:pos="4680"/>
        <w:tab w:val="right" w:pos="9360"/>
      </w:tabs>
    </w:pPr>
  </w:style>
  <w:style w:type="paragraph" w:styleId="Footer">
    <w:name w:val="footer"/>
    <w:basedOn w:val="Normal"/>
    <w:semiHidden/>
    <w:rsid w:val="009B3007"/>
    <w:pPr>
      <w:tabs>
        <w:tab w:val="center" w:pos="4680"/>
        <w:tab w:val="right" w:pos="9360"/>
      </w:tabs>
    </w:pPr>
  </w:style>
  <w:style w:type="paragraph" w:customStyle="1" w:styleId="LetterClosing">
    <w:name w:val="LetterClosing"/>
    <w:basedOn w:val="Normal"/>
    <w:rsid w:val="009B3007"/>
  </w:style>
  <w:style w:type="paragraph" w:styleId="EnvelopeAddress">
    <w:name w:val="envelope address"/>
    <w:basedOn w:val="Normal"/>
    <w:rsid w:val="009B3007"/>
    <w:pPr>
      <w:framePr w:w="7920" w:h="1980" w:hRule="exact" w:hSpace="180" w:wrap="auto" w:hAnchor="page" w:xAlign="center" w:yAlign="bottom"/>
      <w:ind w:left="2880"/>
    </w:pPr>
    <w:rPr>
      <w:rFonts w:cs="Arial"/>
    </w:rPr>
  </w:style>
  <w:style w:type="paragraph" w:styleId="EnvelopeReturn">
    <w:name w:val="envelope return"/>
    <w:basedOn w:val="Normal"/>
    <w:rsid w:val="009B3007"/>
    <w:rPr>
      <w:rFonts w:cs="Arial"/>
      <w:sz w:val="20"/>
      <w:szCs w:val="20"/>
    </w:rPr>
  </w:style>
  <w:style w:type="paragraph" w:customStyle="1" w:styleId="AnnotationText">
    <w:name w:val="Annotation Text"/>
    <w:basedOn w:val="Normal"/>
    <w:rsid w:val="009B3007"/>
    <w:rPr>
      <w:sz w:val="20"/>
    </w:rPr>
  </w:style>
  <w:style w:type="paragraph" w:styleId="BodyText">
    <w:name w:val="Body Text"/>
    <w:basedOn w:val="Normal"/>
    <w:link w:val="BodyTextChar"/>
    <w:rsid w:val="00D51C9C"/>
    <w:pPr>
      <w:spacing w:after="240"/>
      <w:ind w:firstLine="720"/>
    </w:pPr>
  </w:style>
  <w:style w:type="paragraph" w:styleId="BodyTextIndent">
    <w:name w:val="Body Text Indent"/>
    <w:basedOn w:val="Normal"/>
    <w:next w:val="BodyText"/>
    <w:link w:val="BodyTextIndentChar"/>
    <w:rsid w:val="009B3007"/>
    <w:pPr>
      <w:spacing w:after="240"/>
      <w:ind w:left="720"/>
    </w:pPr>
  </w:style>
  <w:style w:type="paragraph" w:customStyle="1" w:styleId="BodyTextContinued">
    <w:name w:val="Body Text Continued"/>
    <w:basedOn w:val="Normal"/>
    <w:next w:val="BodyText"/>
    <w:rsid w:val="009B3007"/>
    <w:pPr>
      <w:spacing w:after="240"/>
    </w:pPr>
  </w:style>
  <w:style w:type="paragraph" w:styleId="Caption">
    <w:name w:val="caption"/>
    <w:basedOn w:val="Normal"/>
    <w:next w:val="Normal"/>
    <w:qFormat/>
    <w:rsid w:val="009B3007"/>
    <w:pPr>
      <w:spacing w:before="120" w:after="120"/>
    </w:pPr>
    <w:rPr>
      <w:b/>
    </w:rPr>
  </w:style>
  <w:style w:type="paragraph" w:styleId="Closing">
    <w:name w:val="Closing"/>
    <w:basedOn w:val="Normal"/>
    <w:rsid w:val="009B3007"/>
    <w:pPr>
      <w:ind w:left="4320"/>
    </w:pPr>
  </w:style>
  <w:style w:type="paragraph" w:styleId="Quote">
    <w:name w:val="Quote"/>
    <w:basedOn w:val="Normal"/>
    <w:next w:val="BodyTextContinued"/>
    <w:qFormat/>
    <w:rsid w:val="009B3007"/>
    <w:pPr>
      <w:spacing w:after="240"/>
      <w:ind w:left="1440" w:right="1440"/>
    </w:pPr>
  </w:style>
  <w:style w:type="paragraph" w:customStyle="1" w:styleId="Centered">
    <w:name w:val="Centered"/>
    <w:basedOn w:val="Normal"/>
    <w:next w:val="BodyText"/>
    <w:rsid w:val="00DC2DEC"/>
    <w:pPr>
      <w:spacing w:after="240"/>
      <w:jc w:val="center"/>
    </w:pPr>
    <w:rPr>
      <w:b/>
      <w:smallCaps/>
    </w:rPr>
  </w:style>
  <w:style w:type="character" w:styleId="FootnoteReference">
    <w:name w:val="footnote reference"/>
    <w:rsid w:val="009B3007"/>
    <w:rPr>
      <w:vertAlign w:val="superscript"/>
      <w:lang w:val="en-US"/>
    </w:rPr>
  </w:style>
  <w:style w:type="paragraph" w:styleId="FootnoteText">
    <w:name w:val="footnote text"/>
    <w:aliases w:val="ft"/>
    <w:basedOn w:val="Normal"/>
    <w:link w:val="FootnoteTextChar"/>
    <w:rsid w:val="009B3007"/>
    <w:pPr>
      <w:spacing w:before="120"/>
      <w:ind w:left="720" w:hanging="720"/>
    </w:pPr>
    <w:rPr>
      <w:sz w:val="24"/>
    </w:rPr>
  </w:style>
  <w:style w:type="paragraph" w:styleId="NormalIndent">
    <w:name w:val="Normal Indent"/>
    <w:basedOn w:val="Normal"/>
    <w:rsid w:val="009B3007"/>
    <w:pPr>
      <w:ind w:left="720" w:right="720"/>
    </w:pPr>
  </w:style>
  <w:style w:type="paragraph" w:customStyle="1" w:styleId="PleadingSignature">
    <w:name w:val="Pleading Signature"/>
    <w:basedOn w:val="Normal"/>
    <w:rsid w:val="009B3007"/>
    <w:pPr>
      <w:keepNext/>
      <w:keepLines/>
      <w:tabs>
        <w:tab w:val="center" w:pos="5040"/>
        <w:tab w:val="right" w:pos="9360"/>
      </w:tabs>
      <w:spacing w:line="240" w:lineRule="exact"/>
      <w:ind w:left="4680"/>
    </w:pPr>
  </w:style>
  <w:style w:type="paragraph" w:customStyle="1" w:styleId="ReLine">
    <w:name w:val="ReLine"/>
    <w:basedOn w:val="Normal"/>
    <w:next w:val="Normal"/>
    <w:semiHidden/>
    <w:rsid w:val="009B3007"/>
    <w:pPr>
      <w:spacing w:after="240"/>
      <w:ind w:left="2160" w:hanging="720"/>
    </w:pPr>
  </w:style>
  <w:style w:type="paragraph" w:customStyle="1" w:styleId="SDP">
    <w:name w:val="SDP"/>
    <w:basedOn w:val="Normal"/>
    <w:next w:val="Normal"/>
    <w:rsid w:val="009B3007"/>
    <w:pPr>
      <w:spacing w:after="240"/>
    </w:pPr>
    <w:rPr>
      <w:b/>
      <w:u w:val="single"/>
    </w:rPr>
  </w:style>
  <w:style w:type="paragraph" w:styleId="Signature">
    <w:name w:val="Signature"/>
    <w:basedOn w:val="Normal"/>
    <w:rsid w:val="009B3007"/>
    <w:pPr>
      <w:ind w:left="4320"/>
    </w:pPr>
  </w:style>
  <w:style w:type="paragraph" w:styleId="Subtitle">
    <w:name w:val="Subtitle"/>
    <w:basedOn w:val="Normal"/>
    <w:qFormat/>
    <w:rsid w:val="009B3007"/>
    <w:pPr>
      <w:spacing w:after="60"/>
      <w:jc w:val="center"/>
    </w:pPr>
    <w:rPr>
      <w:rFonts w:ascii="Arial" w:hAnsi="Arial"/>
      <w:i/>
    </w:rPr>
  </w:style>
  <w:style w:type="paragraph" w:styleId="Title">
    <w:name w:val="Title"/>
    <w:basedOn w:val="Normal"/>
    <w:qFormat/>
    <w:rsid w:val="0027249C"/>
    <w:pPr>
      <w:spacing w:line="480" w:lineRule="auto"/>
      <w:jc w:val="center"/>
    </w:pPr>
    <w:rPr>
      <w:rFonts w:ascii="Century Schoolbook" w:hAnsi="Century Schoolbook"/>
      <w:b/>
      <w:kern w:val="28"/>
    </w:rPr>
  </w:style>
  <w:style w:type="paragraph" w:styleId="TableofFigures">
    <w:name w:val="table of figures"/>
    <w:basedOn w:val="Normal"/>
    <w:next w:val="Normal"/>
    <w:semiHidden/>
    <w:rsid w:val="009B3007"/>
    <w:pPr>
      <w:tabs>
        <w:tab w:val="right" w:leader="dot" w:pos="9360"/>
      </w:tabs>
      <w:ind w:left="475" w:firstLine="475"/>
    </w:pPr>
  </w:style>
  <w:style w:type="paragraph" w:styleId="TableofAuthorities">
    <w:name w:val="table of authorities"/>
    <w:basedOn w:val="Normal"/>
    <w:next w:val="Normal"/>
    <w:uiPriority w:val="99"/>
    <w:semiHidden/>
    <w:rsid w:val="0097297C"/>
    <w:pPr>
      <w:spacing w:before="120" w:after="120"/>
      <w:ind w:left="274" w:right="1152" w:hanging="274"/>
    </w:pPr>
    <w:rPr>
      <w:rFonts w:ascii="Century Schoolbook" w:hAnsi="Century Schoolbook"/>
      <w:szCs w:val="20"/>
    </w:rPr>
  </w:style>
  <w:style w:type="paragraph" w:styleId="TOAHeading">
    <w:name w:val="toa heading"/>
    <w:basedOn w:val="Normal"/>
    <w:next w:val="Normal"/>
    <w:uiPriority w:val="99"/>
    <w:semiHidden/>
    <w:rsid w:val="0097297C"/>
    <w:pPr>
      <w:spacing w:before="120" w:after="120"/>
    </w:pPr>
    <w:rPr>
      <w:rFonts w:ascii="Century Schoolbook" w:hAnsi="Century Schoolbook" w:cs="Arial"/>
      <w:b/>
      <w:bCs/>
      <w:caps/>
      <w:szCs w:val="20"/>
    </w:rPr>
  </w:style>
  <w:style w:type="character" w:styleId="PageNumber">
    <w:name w:val="page number"/>
    <w:basedOn w:val="DefaultParagraphFont"/>
    <w:rsid w:val="009B3007"/>
    <w:rPr>
      <w:lang w:val="en-US"/>
    </w:rPr>
  </w:style>
  <w:style w:type="paragraph" w:styleId="TOC1">
    <w:name w:val="toc 1"/>
    <w:basedOn w:val="Normal"/>
    <w:uiPriority w:val="39"/>
    <w:rsid w:val="0027249C"/>
    <w:pPr>
      <w:keepLines/>
      <w:widowControl w:val="0"/>
      <w:tabs>
        <w:tab w:val="right" w:leader="dot" w:pos="9360"/>
      </w:tabs>
      <w:spacing w:after="240"/>
      <w:ind w:left="720" w:right="720" w:hanging="720"/>
    </w:pPr>
    <w:rPr>
      <w:rFonts w:ascii="Century Schoolbook" w:hAnsi="Century Schoolbook"/>
    </w:rPr>
  </w:style>
  <w:style w:type="paragraph" w:styleId="TOC2">
    <w:name w:val="toc 2"/>
    <w:basedOn w:val="Normal"/>
    <w:uiPriority w:val="39"/>
    <w:rsid w:val="009F31F5"/>
    <w:pPr>
      <w:keepLines/>
      <w:widowControl w:val="0"/>
      <w:tabs>
        <w:tab w:val="right" w:leader="dot" w:pos="9360"/>
      </w:tabs>
      <w:spacing w:after="240"/>
      <w:ind w:left="1440" w:right="720" w:hanging="720"/>
    </w:pPr>
  </w:style>
  <w:style w:type="paragraph" w:styleId="TOC3">
    <w:name w:val="toc 3"/>
    <w:basedOn w:val="Normal"/>
    <w:uiPriority w:val="39"/>
    <w:rsid w:val="009F31F5"/>
    <w:pPr>
      <w:keepLines/>
      <w:widowControl w:val="0"/>
      <w:tabs>
        <w:tab w:val="right" w:leader="dot" w:pos="9360"/>
      </w:tabs>
      <w:spacing w:after="240"/>
      <w:ind w:left="2160" w:right="720" w:hanging="720"/>
    </w:pPr>
  </w:style>
  <w:style w:type="paragraph" w:styleId="TOC4">
    <w:name w:val="toc 4"/>
    <w:basedOn w:val="Normal"/>
    <w:uiPriority w:val="39"/>
    <w:rsid w:val="009F31F5"/>
    <w:pPr>
      <w:keepLines/>
      <w:widowControl w:val="0"/>
      <w:tabs>
        <w:tab w:val="right" w:leader="dot" w:pos="9360"/>
      </w:tabs>
      <w:spacing w:after="240"/>
      <w:ind w:left="2880" w:right="720" w:hanging="720"/>
    </w:pPr>
  </w:style>
  <w:style w:type="paragraph" w:styleId="TOC5">
    <w:name w:val="toc 5"/>
    <w:basedOn w:val="Normal"/>
    <w:semiHidden/>
    <w:rsid w:val="009F31F5"/>
    <w:pPr>
      <w:keepLines/>
      <w:widowControl w:val="0"/>
      <w:tabs>
        <w:tab w:val="right" w:leader="dot" w:pos="9360"/>
      </w:tabs>
      <w:spacing w:after="240"/>
      <w:ind w:left="3600" w:right="720" w:hanging="720"/>
    </w:pPr>
  </w:style>
  <w:style w:type="paragraph" w:styleId="TOC6">
    <w:name w:val="toc 6"/>
    <w:basedOn w:val="Normal"/>
    <w:semiHidden/>
    <w:rsid w:val="009B3007"/>
    <w:pPr>
      <w:keepLines/>
      <w:widowControl w:val="0"/>
      <w:tabs>
        <w:tab w:val="right" w:leader="dot" w:pos="9360"/>
      </w:tabs>
      <w:ind w:left="4320" w:right="720" w:hanging="720"/>
    </w:pPr>
  </w:style>
  <w:style w:type="paragraph" w:styleId="TOC7">
    <w:name w:val="toc 7"/>
    <w:basedOn w:val="Normal"/>
    <w:semiHidden/>
    <w:rsid w:val="009B3007"/>
    <w:pPr>
      <w:keepLines/>
      <w:widowControl w:val="0"/>
      <w:tabs>
        <w:tab w:val="right" w:leader="dot" w:pos="9360"/>
      </w:tabs>
      <w:ind w:left="5040" w:right="720" w:hanging="720"/>
    </w:pPr>
  </w:style>
  <w:style w:type="paragraph" w:styleId="TOC8">
    <w:name w:val="toc 8"/>
    <w:basedOn w:val="Normal"/>
    <w:semiHidden/>
    <w:rsid w:val="009B3007"/>
    <w:pPr>
      <w:keepLines/>
      <w:widowControl w:val="0"/>
      <w:tabs>
        <w:tab w:val="right" w:leader="dot" w:pos="9360"/>
      </w:tabs>
      <w:ind w:left="5760" w:right="720" w:hanging="720"/>
    </w:pPr>
  </w:style>
  <w:style w:type="paragraph" w:styleId="TOC9">
    <w:name w:val="toc 9"/>
    <w:basedOn w:val="Normal"/>
    <w:semiHidden/>
    <w:rsid w:val="009B3007"/>
    <w:pPr>
      <w:keepLines/>
      <w:widowControl w:val="0"/>
      <w:tabs>
        <w:tab w:val="right" w:leader="dot" w:pos="9360"/>
      </w:tabs>
      <w:ind w:left="6480" w:right="720" w:hanging="720"/>
    </w:pPr>
  </w:style>
  <w:style w:type="paragraph" w:customStyle="1" w:styleId="Heading1Para">
    <w:name w:val="Heading1Para"/>
    <w:basedOn w:val="Normal"/>
    <w:rsid w:val="009B3007"/>
    <w:pPr>
      <w:spacing w:after="240"/>
      <w:ind w:left="720"/>
    </w:pPr>
    <w:rPr>
      <w:rFonts w:eastAsia="MS Mincho"/>
      <w:szCs w:val="20"/>
    </w:rPr>
  </w:style>
  <w:style w:type="paragraph" w:customStyle="1" w:styleId="Heading2Para">
    <w:name w:val="Heading2Para"/>
    <w:basedOn w:val="Normal"/>
    <w:rsid w:val="009B3007"/>
    <w:pPr>
      <w:spacing w:after="240"/>
      <w:ind w:left="1440"/>
    </w:pPr>
    <w:rPr>
      <w:rFonts w:eastAsia="MS Mincho"/>
      <w:szCs w:val="20"/>
    </w:rPr>
  </w:style>
  <w:style w:type="paragraph" w:customStyle="1" w:styleId="Heading3Para">
    <w:name w:val="Heading3Para"/>
    <w:basedOn w:val="Normal"/>
    <w:rsid w:val="009B3007"/>
    <w:pPr>
      <w:spacing w:after="240"/>
      <w:ind w:left="2160"/>
    </w:pPr>
    <w:rPr>
      <w:rFonts w:eastAsia="MS Mincho"/>
      <w:szCs w:val="20"/>
    </w:rPr>
  </w:style>
  <w:style w:type="paragraph" w:customStyle="1" w:styleId="Heading4Para">
    <w:name w:val="Heading4Para"/>
    <w:basedOn w:val="Normal"/>
    <w:rsid w:val="009B3007"/>
    <w:pPr>
      <w:spacing w:after="240"/>
      <w:ind w:left="2880"/>
    </w:pPr>
    <w:rPr>
      <w:rFonts w:eastAsia="MS Mincho"/>
      <w:szCs w:val="20"/>
    </w:rPr>
  </w:style>
  <w:style w:type="paragraph" w:customStyle="1" w:styleId="Heading5Para">
    <w:name w:val="Heading5Para"/>
    <w:basedOn w:val="Normal"/>
    <w:rsid w:val="009B3007"/>
    <w:pPr>
      <w:spacing w:after="240"/>
      <w:ind w:left="3600"/>
    </w:pPr>
    <w:rPr>
      <w:rFonts w:eastAsia="MS Mincho"/>
      <w:szCs w:val="20"/>
    </w:rPr>
  </w:style>
  <w:style w:type="paragraph" w:customStyle="1" w:styleId="Heading6Para">
    <w:name w:val="Heading6Para"/>
    <w:basedOn w:val="Normal"/>
    <w:rsid w:val="009B3007"/>
    <w:pPr>
      <w:spacing w:after="240"/>
      <w:ind w:left="4320"/>
    </w:pPr>
    <w:rPr>
      <w:rFonts w:eastAsia="MS Mincho"/>
      <w:szCs w:val="20"/>
    </w:rPr>
  </w:style>
  <w:style w:type="paragraph" w:customStyle="1" w:styleId="Heading7Para">
    <w:name w:val="Heading7Para"/>
    <w:basedOn w:val="Normal"/>
    <w:rsid w:val="009B3007"/>
    <w:pPr>
      <w:spacing w:after="240"/>
      <w:ind w:left="5040"/>
    </w:pPr>
    <w:rPr>
      <w:rFonts w:eastAsia="MS Mincho"/>
      <w:szCs w:val="20"/>
    </w:rPr>
  </w:style>
  <w:style w:type="paragraph" w:customStyle="1" w:styleId="Heading8Para">
    <w:name w:val="Heading8Para"/>
    <w:basedOn w:val="Normal"/>
    <w:rsid w:val="009B3007"/>
    <w:pPr>
      <w:spacing w:after="240"/>
      <w:ind w:left="5760"/>
    </w:pPr>
    <w:rPr>
      <w:rFonts w:eastAsia="MS Mincho"/>
      <w:szCs w:val="20"/>
    </w:rPr>
  </w:style>
  <w:style w:type="paragraph" w:customStyle="1" w:styleId="Heading9Para">
    <w:name w:val="Heading9Para"/>
    <w:basedOn w:val="Normal"/>
    <w:rsid w:val="009B3007"/>
    <w:pPr>
      <w:spacing w:after="240"/>
      <w:ind w:left="6480"/>
    </w:pPr>
    <w:rPr>
      <w:rFonts w:eastAsia="MS Mincho"/>
      <w:szCs w:val="20"/>
    </w:rPr>
  </w:style>
  <w:style w:type="character" w:styleId="HTMLAcronym">
    <w:name w:val="HTML Acronym"/>
    <w:basedOn w:val="DefaultParagraphFont"/>
    <w:rsid w:val="009B3007"/>
    <w:rPr>
      <w:lang w:val="en-US"/>
    </w:rPr>
  </w:style>
  <w:style w:type="paragraph" w:customStyle="1" w:styleId="Footnote">
    <w:name w:val="Footnote"/>
    <w:basedOn w:val="FootnoteText"/>
    <w:next w:val="FootnoteText"/>
    <w:link w:val="FootnoteChar"/>
    <w:rsid w:val="00041DC1"/>
    <w:pPr>
      <w:ind w:left="0" w:firstLine="720"/>
    </w:pPr>
  </w:style>
  <w:style w:type="paragraph" w:customStyle="1" w:styleId="Style1">
    <w:name w:val="Style1"/>
    <w:basedOn w:val="FootnoteText"/>
    <w:autoRedefine/>
    <w:rsid w:val="00041DC1"/>
    <w:pPr>
      <w:ind w:left="0" w:firstLine="720"/>
    </w:pPr>
  </w:style>
  <w:style w:type="paragraph" w:styleId="BalloonText">
    <w:name w:val="Balloon Text"/>
    <w:basedOn w:val="Normal"/>
    <w:semiHidden/>
    <w:rsid w:val="00FC54EE"/>
    <w:rPr>
      <w:rFonts w:ascii="Tahoma" w:hAnsi="Tahoma" w:cs="Tahoma"/>
      <w:sz w:val="16"/>
      <w:szCs w:val="16"/>
    </w:rPr>
  </w:style>
  <w:style w:type="character" w:styleId="CommentReference">
    <w:name w:val="annotation reference"/>
    <w:semiHidden/>
    <w:rsid w:val="00FC54EE"/>
    <w:rPr>
      <w:sz w:val="16"/>
      <w:szCs w:val="16"/>
      <w:lang w:val="en-US"/>
    </w:rPr>
  </w:style>
  <w:style w:type="paragraph" w:styleId="CommentText">
    <w:name w:val="annotation text"/>
    <w:basedOn w:val="Normal"/>
    <w:link w:val="CommentTextChar"/>
    <w:semiHidden/>
    <w:rsid w:val="00FC54EE"/>
    <w:rPr>
      <w:sz w:val="20"/>
      <w:szCs w:val="20"/>
    </w:rPr>
  </w:style>
  <w:style w:type="paragraph" w:styleId="CommentSubject">
    <w:name w:val="annotation subject"/>
    <w:basedOn w:val="CommentText"/>
    <w:next w:val="CommentText"/>
    <w:semiHidden/>
    <w:rsid w:val="00FC54EE"/>
    <w:rPr>
      <w:b/>
      <w:bCs/>
    </w:rPr>
  </w:style>
  <w:style w:type="character" w:styleId="Hyperlink">
    <w:name w:val="Hyperlink"/>
    <w:uiPriority w:val="99"/>
    <w:rsid w:val="00DC2DEC"/>
    <w:rPr>
      <w:color w:val="0000FF"/>
      <w:u w:val="single"/>
      <w:lang w:val="en-US"/>
    </w:rPr>
  </w:style>
  <w:style w:type="table" w:styleId="TableGrid">
    <w:name w:val="Table Grid"/>
    <w:basedOn w:val="TableNormal"/>
    <w:uiPriority w:val="59"/>
    <w:rsid w:val="004C0A4A"/>
    <w:pPr>
      <w:widowControl w:val="0"/>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3"/>
    <w:rsid w:val="00E77581"/>
    <w:pPr>
      <w:numPr>
        <w:ilvl w:val="0"/>
        <w:numId w:val="1"/>
      </w:numPr>
    </w:pPr>
    <w:rPr>
      <w:b w:val="0"/>
      <w:i/>
    </w:rPr>
  </w:style>
  <w:style w:type="paragraph" w:customStyle="1" w:styleId="Style3">
    <w:name w:val="Style3"/>
    <w:basedOn w:val="Heading3"/>
    <w:autoRedefine/>
    <w:rsid w:val="00E77581"/>
    <w:pPr>
      <w:numPr>
        <w:ilvl w:val="0"/>
        <w:numId w:val="2"/>
      </w:numPr>
    </w:pPr>
    <w:rPr>
      <w:b w:val="0"/>
      <w:i/>
    </w:rPr>
  </w:style>
  <w:style w:type="paragraph" w:customStyle="1" w:styleId="CenteredforTOC">
    <w:name w:val="Centered for TOC"/>
    <w:basedOn w:val="Normal"/>
    <w:rsid w:val="00C1205B"/>
    <w:pPr>
      <w:spacing w:line="480" w:lineRule="auto"/>
      <w:jc w:val="center"/>
    </w:pPr>
    <w:rPr>
      <w:b/>
      <w:szCs w:val="28"/>
    </w:rPr>
  </w:style>
  <w:style w:type="character" w:customStyle="1" w:styleId="FootnoteTextChar">
    <w:name w:val="Footnote Text Char"/>
    <w:aliases w:val="ft Char"/>
    <w:link w:val="FootnoteText"/>
    <w:rsid w:val="00C759B7"/>
    <w:rPr>
      <w:sz w:val="24"/>
      <w:szCs w:val="24"/>
      <w:lang w:val="en-US" w:eastAsia="en-US" w:bidi="ar-SA"/>
    </w:rPr>
  </w:style>
  <w:style w:type="character" w:customStyle="1" w:styleId="FootnoteChar">
    <w:name w:val="Footnote Char"/>
    <w:basedOn w:val="FootnoteTextChar"/>
    <w:link w:val="Footnote"/>
    <w:rsid w:val="00C759B7"/>
    <w:rPr>
      <w:sz w:val="24"/>
      <w:szCs w:val="24"/>
      <w:lang w:val="en-US" w:eastAsia="en-US" w:bidi="ar-SA"/>
    </w:rPr>
  </w:style>
  <w:style w:type="character" w:customStyle="1" w:styleId="BodyTextChar">
    <w:name w:val="Body Text Char"/>
    <w:link w:val="BodyText"/>
    <w:locked/>
    <w:rsid w:val="00D51C9C"/>
    <w:rPr>
      <w:sz w:val="28"/>
      <w:szCs w:val="24"/>
      <w:lang w:val="en-US" w:eastAsia="en-US" w:bidi="ar-SA"/>
    </w:rPr>
  </w:style>
  <w:style w:type="paragraph" w:styleId="ListParagraph">
    <w:name w:val="List Paragraph"/>
    <w:basedOn w:val="Normal"/>
    <w:uiPriority w:val="34"/>
    <w:qFormat/>
    <w:rsid w:val="00817612"/>
    <w:pPr>
      <w:ind w:left="720"/>
      <w:contextualSpacing/>
    </w:pPr>
    <w:rPr>
      <w:rFonts w:ascii="Cambria" w:eastAsia="Cambria" w:hAnsi="Cambria"/>
    </w:rPr>
  </w:style>
  <w:style w:type="character" w:styleId="FollowedHyperlink">
    <w:name w:val="FollowedHyperlink"/>
    <w:rsid w:val="00253D94"/>
    <w:rPr>
      <w:color w:val="800080"/>
      <w:u w:val="single"/>
      <w:lang w:val="en-US"/>
    </w:rPr>
  </w:style>
  <w:style w:type="paragraph" w:customStyle="1" w:styleId="Default">
    <w:name w:val="Default"/>
    <w:rsid w:val="00882DB5"/>
    <w:pPr>
      <w:autoSpaceDE w:val="0"/>
      <w:autoSpaceDN w:val="0"/>
      <w:adjustRightInd w:val="0"/>
    </w:pPr>
    <w:rPr>
      <w:color w:val="000000"/>
      <w:sz w:val="24"/>
      <w:szCs w:val="24"/>
    </w:rPr>
  </w:style>
  <w:style w:type="paragraph" w:styleId="MacroText">
    <w:name w:val="macro"/>
    <w:link w:val="MacroTextChar"/>
    <w:rsid w:val="004D54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D5431"/>
    <w:rPr>
      <w:rFonts w:ascii="Courier New" w:hAnsi="Courier New" w:cs="Courier New"/>
      <w:lang w:val="en-US" w:eastAsia="en-US" w:bidi="ar-SA"/>
    </w:rPr>
  </w:style>
  <w:style w:type="paragraph" w:customStyle="1" w:styleId="BodyText1">
    <w:name w:val="BodyText 1"/>
    <w:basedOn w:val="Normal"/>
    <w:uiPriority w:val="1"/>
    <w:qFormat/>
    <w:rsid w:val="004B53D7"/>
    <w:pPr>
      <w:spacing w:after="240"/>
      <w:ind w:firstLine="720"/>
    </w:pPr>
    <w:rPr>
      <w:rFonts w:cs="Arial"/>
      <w:sz w:val="24"/>
    </w:rPr>
  </w:style>
  <w:style w:type="paragraph" w:styleId="BodyTextFirstIndent">
    <w:name w:val="Body Text First Indent"/>
    <w:basedOn w:val="BodyText"/>
    <w:link w:val="BodyTextFirstIndentChar"/>
    <w:rsid w:val="00AB0AAC"/>
    <w:pPr>
      <w:spacing w:after="120"/>
      <w:ind w:firstLine="210"/>
    </w:pPr>
  </w:style>
  <w:style w:type="character" w:customStyle="1" w:styleId="BodyTextFirstIndentChar">
    <w:name w:val="Body Text First Indent Char"/>
    <w:basedOn w:val="BodyTextChar"/>
    <w:link w:val="BodyTextFirstIndent"/>
    <w:rsid w:val="00AB0AAC"/>
    <w:rPr>
      <w:sz w:val="28"/>
      <w:szCs w:val="24"/>
      <w:lang w:val="en-US" w:eastAsia="en-US" w:bidi="ar-SA"/>
    </w:rPr>
  </w:style>
  <w:style w:type="character" w:customStyle="1" w:styleId="Heading5Char">
    <w:name w:val="Heading 5 Char"/>
    <w:link w:val="Heading5"/>
    <w:rsid w:val="00A31B83"/>
    <w:rPr>
      <w:sz w:val="28"/>
      <w:szCs w:val="24"/>
    </w:rPr>
  </w:style>
  <w:style w:type="paragraph" w:styleId="Revision">
    <w:name w:val="Revision"/>
    <w:hidden/>
    <w:uiPriority w:val="99"/>
    <w:semiHidden/>
    <w:rsid w:val="00C8390B"/>
    <w:rPr>
      <w:sz w:val="28"/>
      <w:szCs w:val="24"/>
    </w:rPr>
  </w:style>
  <w:style w:type="paragraph" w:styleId="EndnoteText">
    <w:name w:val="endnote text"/>
    <w:basedOn w:val="Normal"/>
    <w:link w:val="EndnoteTextChar"/>
    <w:rsid w:val="000836CC"/>
    <w:rPr>
      <w:sz w:val="20"/>
      <w:szCs w:val="20"/>
    </w:rPr>
  </w:style>
  <w:style w:type="character" w:customStyle="1" w:styleId="EndnoteTextChar">
    <w:name w:val="Endnote Text Char"/>
    <w:basedOn w:val="DefaultParagraphFont"/>
    <w:link w:val="EndnoteText"/>
    <w:rsid w:val="000836CC"/>
    <w:rPr>
      <w:lang w:val="en-US"/>
    </w:rPr>
  </w:style>
  <w:style w:type="character" w:styleId="EndnoteReference">
    <w:name w:val="endnote reference"/>
    <w:rsid w:val="000836CC"/>
    <w:rPr>
      <w:vertAlign w:val="superscript"/>
      <w:lang w:val="en-US"/>
    </w:rPr>
  </w:style>
  <w:style w:type="character" w:customStyle="1" w:styleId="CommentTextChar">
    <w:name w:val="Comment Text Char"/>
    <w:link w:val="CommentText"/>
    <w:semiHidden/>
    <w:rsid w:val="00126133"/>
  </w:style>
  <w:style w:type="paragraph" w:customStyle="1" w:styleId="AGBodyFLIndentDS">
    <w:name w:val="AG Body FLIndent DS"/>
    <w:basedOn w:val="Normal"/>
    <w:rsid w:val="00FB48F4"/>
    <w:pPr>
      <w:spacing w:line="480" w:lineRule="exact"/>
      <w:ind w:firstLine="720"/>
    </w:pPr>
    <w:rPr>
      <w:sz w:val="26"/>
    </w:rPr>
  </w:style>
  <w:style w:type="character" w:styleId="Emphasis">
    <w:name w:val="Emphasis"/>
    <w:uiPriority w:val="20"/>
    <w:qFormat/>
    <w:rsid w:val="00A22C86"/>
    <w:rPr>
      <w:i/>
      <w:iCs/>
      <w:lang w:val="en-US"/>
    </w:rPr>
  </w:style>
  <w:style w:type="character" w:customStyle="1" w:styleId="cohighlightpoints">
    <w:name w:val="co_highlightpoints"/>
    <w:rsid w:val="00A22C86"/>
  </w:style>
  <w:style w:type="paragraph" w:customStyle="1" w:styleId="AGzSigBlock">
    <w:name w:val="AG zSig Block"/>
    <w:basedOn w:val="Normal"/>
    <w:rsid w:val="008F321D"/>
    <w:pPr>
      <w:ind w:left="5040"/>
    </w:pPr>
    <w:rPr>
      <w:sz w:val="26"/>
      <w:szCs w:val="26"/>
    </w:rPr>
  </w:style>
  <w:style w:type="paragraph" w:styleId="NoSpacing">
    <w:name w:val="No Spacing"/>
    <w:uiPriority w:val="1"/>
    <w:qFormat/>
    <w:rsid w:val="00506C94"/>
    <w:rPr>
      <w:sz w:val="28"/>
      <w:szCs w:val="24"/>
    </w:rPr>
  </w:style>
  <w:style w:type="character" w:styleId="UnresolvedMention">
    <w:name w:val="Unresolved Mention"/>
    <w:uiPriority w:val="99"/>
    <w:semiHidden/>
    <w:unhideWhenUsed/>
    <w:rsid w:val="00FE3E31"/>
    <w:rPr>
      <w:color w:val="605E5C"/>
      <w:shd w:val="clear" w:color="auto" w:fill="E1DFDD"/>
      <w:lang w:val="en-US"/>
    </w:rPr>
  </w:style>
  <w:style w:type="character" w:customStyle="1" w:styleId="Heading1Char">
    <w:name w:val="Heading 1 Char"/>
    <w:link w:val="Heading1"/>
    <w:rsid w:val="00207E64"/>
    <w:rPr>
      <w:rFonts w:ascii="Times New Roman Bold" w:hAnsi="Times New Roman Bold"/>
      <w:b/>
      <w:sz w:val="28"/>
      <w:szCs w:val="28"/>
    </w:rPr>
  </w:style>
  <w:style w:type="paragraph" w:customStyle="1" w:styleId="Body">
    <w:name w:val="Body"/>
    <w:basedOn w:val="Normal"/>
    <w:link w:val="BodyChar"/>
    <w:qFormat/>
    <w:rsid w:val="004900C8"/>
    <w:pPr>
      <w:autoSpaceDE w:val="0"/>
      <w:autoSpaceDN w:val="0"/>
      <w:adjustRightInd w:val="0"/>
      <w:spacing w:line="480" w:lineRule="auto"/>
      <w:ind w:firstLine="720"/>
    </w:pPr>
    <w:rPr>
      <w:iCs/>
      <w:szCs w:val="28"/>
      <w:lang w:eastAsia="x-none"/>
    </w:rPr>
  </w:style>
  <w:style w:type="character" w:styleId="Strong">
    <w:name w:val="Strong"/>
    <w:rsid w:val="0027782D"/>
    <w:rPr>
      <w:b/>
      <w:bCs/>
      <w:lang w:val="en-US"/>
    </w:rPr>
  </w:style>
  <w:style w:type="character" w:customStyle="1" w:styleId="BodyChar">
    <w:name w:val="Body Char"/>
    <w:link w:val="Body"/>
    <w:rsid w:val="004900C8"/>
    <w:rPr>
      <w:iCs/>
      <w:sz w:val="28"/>
      <w:szCs w:val="28"/>
      <w:lang w:val="en-US"/>
    </w:rPr>
  </w:style>
  <w:style w:type="character" w:styleId="SubtleEmphasis">
    <w:name w:val="Subtle Emphasis"/>
    <w:uiPriority w:val="19"/>
    <w:qFormat/>
    <w:rsid w:val="0027249C"/>
    <w:rPr>
      <w:i/>
      <w:iCs/>
      <w:color w:val="404040"/>
      <w:lang w:val="en-US"/>
    </w:rPr>
  </w:style>
  <w:style w:type="paragraph" w:styleId="BodyTextFirstIndent2">
    <w:name w:val="Body Text First Indent 2"/>
    <w:basedOn w:val="BodyTextIndent"/>
    <w:link w:val="BodyTextFirstIndent2Char"/>
    <w:rsid w:val="00331155"/>
    <w:pPr>
      <w:spacing w:after="120"/>
      <w:ind w:left="360" w:firstLine="210"/>
    </w:pPr>
  </w:style>
  <w:style w:type="character" w:customStyle="1" w:styleId="BodyTextIndentChar">
    <w:name w:val="Body Text Indent Char"/>
    <w:link w:val="BodyTextIndent"/>
    <w:rsid w:val="00331155"/>
    <w:rPr>
      <w:sz w:val="28"/>
      <w:szCs w:val="24"/>
      <w:lang w:val="en-US"/>
    </w:rPr>
  </w:style>
  <w:style w:type="character" w:customStyle="1" w:styleId="BodyTextFirstIndent2Char">
    <w:name w:val="Body Text First Indent 2 Char"/>
    <w:basedOn w:val="BodyTextIndentChar"/>
    <w:link w:val="BodyTextFirstIndent2"/>
    <w:rsid w:val="00331155"/>
    <w:rPr>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93640">
      <w:bodyDiv w:val="1"/>
      <w:marLeft w:val="0"/>
      <w:marRight w:val="0"/>
      <w:marTop w:val="0"/>
      <w:marBottom w:val="0"/>
      <w:divBdr>
        <w:top w:val="none" w:sz="0" w:space="0" w:color="auto"/>
        <w:left w:val="none" w:sz="0" w:space="0" w:color="auto"/>
        <w:bottom w:val="none" w:sz="0" w:space="0" w:color="auto"/>
        <w:right w:val="none" w:sz="0" w:space="0" w:color="auto"/>
      </w:divBdr>
    </w:div>
    <w:div w:id="148834929">
      <w:bodyDiv w:val="1"/>
      <w:marLeft w:val="0"/>
      <w:marRight w:val="0"/>
      <w:marTop w:val="0"/>
      <w:marBottom w:val="0"/>
      <w:divBdr>
        <w:top w:val="none" w:sz="0" w:space="0" w:color="auto"/>
        <w:left w:val="none" w:sz="0" w:space="0" w:color="auto"/>
        <w:bottom w:val="none" w:sz="0" w:space="0" w:color="auto"/>
        <w:right w:val="none" w:sz="0" w:space="0" w:color="auto"/>
      </w:divBdr>
    </w:div>
    <w:div w:id="162864994">
      <w:bodyDiv w:val="1"/>
      <w:marLeft w:val="0"/>
      <w:marRight w:val="0"/>
      <w:marTop w:val="0"/>
      <w:marBottom w:val="0"/>
      <w:divBdr>
        <w:top w:val="none" w:sz="0" w:space="0" w:color="auto"/>
        <w:left w:val="none" w:sz="0" w:space="0" w:color="auto"/>
        <w:bottom w:val="none" w:sz="0" w:space="0" w:color="auto"/>
        <w:right w:val="none" w:sz="0" w:space="0" w:color="auto"/>
      </w:divBdr>
    </w:div>
    <w:div w:id="171379229">
      <w:bodyDiv w:val="1"/>
      <w:marLeft w:val="0"/>
      <w:marRight w:val="0"/>
      <w:marTop w:val="0"/>
      <w:marBottom w:val="0"/>
      <w:divBdr>
        <w:top w:val="none" w:sz="0" w:space="0" w:color="auto"/>
        <w:left w:val="none" w:sz="0" w:space="0" w:color="auto"/>
        <w:bottom w:val="none" w:sz="0" w:space="0" w:color="auto"/>
        <w:right w:val="none" w:sz="0" w:space="0" w:color="auto"/>
      </w:divBdr>
    </w:div>
    <w:div w:id="178352416">
      <w:bodyDiv w:val="1"/>
      <w:marLeft w:val="0"/>
      <w:marRight w:val="0"/>
      <w:marTop w:val="0"/>
      <w:marBottom w:val="0"/>
      <w:divBdr>
        <w:top w:val="none" w:sz="0" w:space="0" w:color="auto"/>
        <w:left w:val="none" w:sz="0" w:space="0" w:color="auto"/>
        <w:bottom w:val="none" w:sz="0" w:space="0" w:color="auto"/>
        <w:right w:val="none" w:sz="0" w:space="0" w:color="auto"/>
      </w:divBdr>
    </w:div>
    <w:div w:id="221522619">
      <w:bodyDiv w:val="1"/>
      <w:marLeft w:val="0"/>
      <w:marRight w:val="0"/>
      <w:marTop w:val="0"/>
      <w:marBottom w:val="0"/>
      <w:divBdr>
        <w:top w:val="none" w:sz="0" w:space="0" w:color="auto"/>
        <w:left w:val="none" w:sz="0" w:space="0" w:color="auto"/>
        <w:bottom w:val="none" w:sz="0" w:space="0" w:color="auto"/>
        <w:right w:val="none" w:sz="0" w:space="0" w:color="auto"/>
      </w:divBdr>
    </w:div>
    <w:div w:id="255138811">
      <w:bodyDiv w:val="1"/>
      <w:marLeft w:val="0"/>
      <w:marRight w:val="0"/>
      <w:marTop w:val="0"/>
      <w:marBottom w:val="0"/>
      <w:divBdr>
        <w:top w:val="none" w:sz="0" w:space="0" w:color="auto"/>
        <w:left w:val="none" w:sz="0" w:space="0" w:color="auto"/>
        <w:bottom w:val="none" w:sz="0" w:space="0" w:color="auto"/>
        <w:right w:val="none" w:sz="0" w:space="0" w:color="auto"/>
      </w:divBdr>
    </w:div>
    <w:div w:id="266694580">
      <w:bodyDiv w:val="1"/>
      <w:marLeft w:val="0"/>
      <w:marRight w:val="0"/>
      <w:marTop w:val="0"/>
      <w:marBottom w:val="0"/>
      <w:divBdr>
        <w:top w:val="none" w:sz="0" w:space="0" w:color="auto"/>
        <w:left w:val="none" w:sz="0" w:space="0" w:color="auto"/>
        <w:bottom w:val="none" w:sz="0" w:space="0" w:color="auto"/>
        <w:right w:val="none" w:sz="0" w:space="0" w:color="auto"/>
      </w:divBdr>
    </w:div>
    <w:div w:id="300964587">
      <w:bodyDiv w:val="1"/>
      <w:marLeft w:val="0"/>
      <w:marRight w:val="0"/>
      <w:marTop w:val="0"/>
      <w:marBottom w:val="0"/>
      <w:divBdr>
        <w:top w:val="none" w:sz="0" w:space="0" w:color="auto"/>
        <w:left w:val="none" w:sz="0" w:space="0" w:color="auto"/>
        <w:bottom w:val="none" w:sz="0" w:space="0" w:color="auto"/>
        <w:right w:val="none" w:sz="0" w:space="0" w:color="auto"/>
      </w:divBdr>
    </w:div>
    <w:div w:id="377825822">
      <w:bodyDiv w:val="1"/>
      <w:marLeft w:val="0"/>
      <w:marRight w:val="0"/>
      <w:marTop w:val="0"/>
      <w:marBottom w:val="0"/>
      <w:divBdr>
        <w:top w:val="none" w:sz="0" w:space="0" w:color="auto"/>
        <w:left w:val="none" w:sz="0" w:space="0" w:color="auto"/>
        <w:bottom w:val="none" w:sz="0" w:space="0" w:color="auto"/>
        <w:right w:val="none" w:sz="0" w:space="0" w:color="auto"/>
      </w:divBdr>
    </w:div>
    <w:div w:id="432630449">
      <w:bodyDiv w:val="1"/>
      <w:marLeft w:val="0"/>
      <w:marRight w:val="0"/>
      <w:marTop w:val="0"/>
      <w:marBottom w:val="0"/>
      <w:divBdr>
        <w:top w:val="none" w:sz="0" w:space="0" w:color="auto"/>
        <w:left w:val="none" w:sz="0" w:space="0" w:color="auto"/>
        <w:bottom w:val="none" w:sz="0" w:space="0" w:color="auto"/>
        <w:right w:val="none" w:sz="0" w:space="0" w:color="auto"/>
      </w:divBdr>
    </w:div>
    <w:div w:id="522474866">
      <w:bodyDiv w:val="1"/>
      <w:marLeft w:val="0"/>
      <w:marRight w:val="0"/>
      <w:marTop w:val="0"/>
      <w:marBottom w:val="0"/>
      <w:divBdr>
        <w:top w:val="none" w:sz="0" w:space="0" w:color="auto"/>
        <w:left w:val="none" w:sz="0" w:space="0" w:color="auto"/>
        <w:bottom w:val="none" w:sz="0" w:space="0" w:color="auto"/>
        <w:right w:val="none" w:sz="0" w:space="0" w:color="auto"/>
      </w:divBdr>
    </w:div>
    <w:div w:id="540938381">
      <w:bodyDiv w:val="1"/>
      <w:marLeft w:val="0"/>
      <w:marRight w:val="0"/>
      <w:marTop w:val="0"/>
      <w:marBottom w:val="0"/>
      <w:divBdr>
        <w:top w:val="none" w:sz="0" w:space="0" w:color="auto"/>
        <w:left w:val="none" w:sz="0" w:space="0" w:color="auto"/>
        <w:bottom w:val="none" w:sz="0" w:space="0" w:color="auto"/>
        <w:right w:val="none" w:sz="0" w:space="0" w:color="auto"/>
      </w:divBdr>
    </w:div>
    <w:div w:id="623735420">
      <w:bodyDiv w:val="1"/>
      <w:marLeft w:val="0"/>
      <w:marRight w:val="0"/>
      <w:marTop w:val="0"/>
      <w:marBottom w:val="0"/>
      <w:divBdr>
        <w:top w:val="none" w:sz="0" w:space="0" w:color="auto"/>
        <w:left w:val="none" w:sz="0" w:space="0" w:color="auto"/>
        <w:bottom w:val="none" w:sz="0" w:space="0" w:color="auto"/>
        <w:right w:val="none" w:sz="0" w:space="0" w:color="auto"/>
      </w:divBdr>
    </w:div>
    <w:div w:id="776678166">
      <w:bodyDiv w:val="1"/>
      <w:marLeft w:val="0"/>
      <w:marRight w:val="0"/>
      <w:marTop w:val="0"/>
      <w:marBottom w:val="0"/>
      <w:divBdr>
        <w:top w:val="none" w:sz="0" w:space="0" w:color="auto"/>
        <w:left w:val="none" w:sz="0" w:space="0" w:color="auto"/>
        <w:bottom w:val="none" w:sz="0" w:space="0" w:color="auto"/>
        <w:right w:val="none" w:sz="0" w:space="0" w:color="auto"/>
      </w:divBdr>
    </w:div>
    <w:div w:id="777221126">
      <w:bodyDiv w:val="1"/>
      <w:marLeft w:val="0"/>
      <w:marRight w:val="0"/>
      <w:marTop w:val="0"/>
      <w:marBottom w:val="0"/>
      <w:divBdr>
        <w:top w:val="none" w:sz="0" w:space="0" w:color="auto"/>
        <w:left w:val="none" w:sz="0" w:space="0" w:color="auto"/>
        <w:bottom w:val="none" w:sz="0" w:space="0" w:color="auto"/>
        <w:right w:val="none" w:sz="0" w:space="0" w:color="auto"/>
      </w:divBdr>
    </w:div>
    <w:div w:id="794830757">
      <w:bodyDiv w:val="1"/>
      <w:marLeft w:val="0"/>
      <w:marRight w:val="0"/>
      <w:marTop w:val="0"/>
      <w:marBottom w:val="0"/>
      <w:divBdr>
        <w:top w:val="none" w:sz="0" w:space="0" w:color="auto"/>
        <w:left w:val="none" w:sz="0" w:space="0" w:color="auto"/>
        <w:bottom w:val="none" w:sz="0" w:space="0" w:color="auto"/>
        <w:right w:val="none" w:sz="0" w:space="0" w:color="auto"/>
      </w:divBdr>
    </w:div>
    <w:div w:id="831719351">
      <w:bodyDiv w:val="1"/>
      <w:marLeft w:val="0"/>
      <w:marRight w:val="0"/>
      <w:marTop w:val="0"/>
      <w:marBottom w:val="0"/>
      <w:divBdr>
        <w:top w:val="none" w:sz="0" w:space="0" w:color="auto"/>
        <w:left w:val="none" w:sz="0" w:space="0" w:color="auto"/>
        <w:bottom w:val="none" w:sz="0" w:space="0" w:color="auto"/>
        <w:right w:val="none" w:sz="0" w:space="0" w:color="auto"/>
      </w:divBdr>
    </w:div>
    <w:div w:id="868690175">
      <w:bodyDiv w:val="1"/>
      <w:marLeft w:val="0"/>
      <w:marRight w:val="0"/>
      <w:marTop w:val="0"/>
      <w:marBottom w:val="0"/>
      <w:divBdr>
        <w:top w:val="none" w:sz="0" w:space="0" w:color="auto"/>
        <w:left w:val="none" w:sz="0" w:space="0" w:color="auto"/>
        <w:bottom w:val="none" w:sz="0" w:space="0" w:color="auto"/>
        <w:right w:val="none" w:sz="0" w:space="0" w:color="auto"/>
      </w:divBdr>
    </w:div>
    <w:div w:id="869925591">
      <w:bodyDiv w:val="1"/>
      <w:marLeft w:val="0"/>
      <w:marRight w:val="0"/>
      <w:marTop w:val="0"/>
      <w:marBottom w:val="0"/>
      <w:divBdr>
        <w:top w:val="none" w:sz="0" w:space="0" w:color="auto"/>
        <w:left w:val="none" w:sz="0" w:space="0" w:color="auto"/>
        <w:bottom w:val="none" w:sz="0" w:space="0" w:color="auto"/>
        <w:right w:val="none" w:sz="0" w:space="0" w:color="auto"/>
      </w:divBdr>
    </w:div>
    <w:div w:id="874345232">
      <w:bodyDiv w:val="1"/>
      <w:marLeft w:val="0"/>
      <w:marRight w:val="0"/>
      <w:marTop w:val="0"/>
      <w:marBottom w:val="0"/>
      <w:divBdr>
        <w:top w:val="none" w:sz="0" w:space="0" w:color="auto"/>
        <w:left w:val="none" w:sz="0" w:space="0" w:color="auto"/>
        <w:bottom w:val="none" w:sz="0" w:space="0" w:color="auto"/>
        <w:right w:val="none" w:sz="0" w:space="0" w:color="auto"/>
      </w:divBdr>
    </w:div>
    <w:div w:id="905260741">
      <w:bodyDiv w:val="1"/>
      <w:marLeft w:val="0"/>
      <w:marRight w:val="0"/>
      <w:marTop w:val="0"/>
      <w:marBottom w:val="0"/>
      <w:divBdr>
        <w:top w:val="none" w:sz="0" w:space="0" w:color="auto"/>
        <w:left w:val="none" w:sz="0" w:space="0" w:color="auto"/>
        <w:bottom w:val="none" w:sz="0" w:space="0" w:color="auto"/>
        <w:right w:val="none" w:sz="0" w:space="0" w:color="auto"/>
      </w:divBdr>
    </w:div>
    <w:div w:id="967393910">
      <w:bodyDiv w:val="1"/>
      <w:marLeft w:val="0"/>
      <w:marRight w:val="0"/>
      <w:marTop w:val="0"/>
      <w:marBottom w:val="0"/>
      <w:divBdr>
        <w:top w:val="none" w:sz="0" w:space="0" w:color="auto"/>
        <w:left w:val="none" w:sz="0" w:space="0" w:color="auto"/>
        <w:bottom w:val="none" w:sz="0" w:space="0" w:color="auto"/>
        <w:right w:val="none" w:sz="0" w:space="0" w:color="auto"/>
      </w:divBdr>
    </w:div>
    <w:div w:id="975984811">
      <w:bodyDiv w:val="1"/>
      <w:marLeft w:val="0"/>
      <w:marRight w:val="0"/>
      <w:marTop w:val="0"/>
      <w:marBottom w:val="0"/>
      <w:divBdr>
        <w:top w:val="none" w:sz="0" w:space="0" w:color="auto"/>
        <w:left w:val="none" w:sz="0" w:space="0" w:color="auto"/>
        <w:bottom w:val="none" w:sz="0" w:space="0" w:color="auto"/>
        <w:right w:val="none" w:sz="0" w:space="0" w:color="auto"/>
      </w:divBdr>
    </w:div>
    <w:div w:id="1046028938">
      <w:bodyDiv w:val="1"/>
      <w:marLeft w:val="0"/>
      <w:marRight w:val="0"/>
      <w:marTop w:val="0"/>
      <w:marBottom w:val="0"/>
      <w:divBdr>
        <w:top w:val="none" w:sz="0" w:space="0" w:color="auto"/>
        <w:left w:val="none" w:sz="0" w:space="0" w:color="auto"/>
        <w:bottom w:val="none" w:sz="0" w:space="0" w:color="auto"/>
        <w:right w:val="none" w:sz="0" w:space="0" w:color="auto"/>
      </w:divBdr>
    </w:div>
    <w:div w:id="1057122358">
      <w:bodyDiv w:val="1"/>
      <w:marLeft w:val="0"/>
      <w:marRight w:val="0"/>
      <w:marTop w:val="0"/>
      <w:marBottom w:val="0"/>
      <w:divBdr>
        <w:top w:val="none" w:sz="0" w:space="0" w:color="auto"/>
        <w:left w:val="none" w:sz="0" w:space="0" w:color="auto"/>
        <w:bottom w:val="none" w:sz="0" w:space="0" w:color="auto"/>
        <w:right w:val="none" w:sz="0" w:space="0" w:color="auto"/>
      </w:divBdr>
    </w:div>
    <w:div w:id="1073087043">
      <w:bodyDiv w:val="1"/>
      <w:marLeft w:val="0"/>
      <w:marRight w:val="0"/>
      <w:marTop w:val="0"/>
      <w:marBottom w:val="0"/>
      <w:divBdr>
        <w:top w:val="none" w:sz="0" w:space="0" w:color="auto"/>
        <w:left w:val="none" w:sz="0" w:space="0" w:color="auto"/>
        <w:bottom w:val="none" w:sz="0" w:space="0" w:color="auto"/>
        <w:right w:val="none" w:sz="0" w:space="0" w:color="auto"/>
      </w:divBdr>
    </w:div>
    <w:div w:id="1161849821">
      <w:bodyDiv w:val="1"/>
      <w:marLeft w:val="0"/>
      <w:marRight w:val="0"/>
      <w:marTop w:val="0"/>
      <w:marBottom w:val="0"/>
      <w:divBdr>
        <w:top w:val="none" w:sz="0" w:space="0" w:color="auto"/>
        <w:left w:val="none" w:sz="0" w:space="0" w:color="auto"/>
        <w:bottom w:val="none" w:sz="0" w:space="0" w:color="auto"/>
        <w:right w:val="none" w:sz="0" w:space="0" w:color="auto"/>
      </w:divBdr>
    </w:div>
    <w:div w:id="1191263665">
      <w:bodyDiv w:val="1"/>
      <w:marLeft w:val="0"/>
      <w:marRight w:val="0"/>
      <w:marTop w:val="0"/>
      <w:marBottom w:val="0"/>
      <w:divBdr>
        <w:top w:val="none" w:sz="0" w:space="0" w:color="auto"/>
        <w:left w:val="none" w:sz="0" w:space="0" w:color="auto"/>
        <w:bottom w:val="none" w:sz="0" w:space="0" w:color="auto"/>
        <w:right w:val="none" w:sz="0" w:space="0" w:color="auto"/>
      </w:divBdr>
    </w:div>
    <w:div w:id="1304430264">
      <w:bodyDiv w:val="1"/>
      <w:marLeft w:val="0"/>
      <w:marRight w:val="0"/>
      <w:marTop w:val="0"/>
      <w:marBottom w:val="0"/>
      <w:divBdr>
        <w:top w:val="none" w:sz="0" w:space="0" w:color="auto"/>
        <w:left w:val="none" w:sz="0" w:space="0" w:color="auto"/>
        <w:bottom w:val="none" w:sz="0" w:space="0" w:color="auto"/>
        <w:right w:val="none" w:sz="0" w:space="0" w:color="auto"/>
      </w:divBdr>
    </w:div>
    <w:div w:id="1397901223">
      <w:bodyDiv w:val="1"/>
      <w:marLeft w:val="0"/>
      <w:marRight w:val="0"/>
      <w:marTop w:val="0"/>
      <w:marBottom w:val="0"/>
      <w:divBdr>
        <w:top w:val="none" w:sz="0" w:space="0" w:color="auto"/>
        <w:left w:val="none" w:sz="0" w:space="0" w:color="auto"/>
        <w:bottom w:val="none" w:sz="0" w:space="0" w:color="auto"/>
        <w:right w:val="none" w:sz="0" w:space="0" w:color="auto"/>
      </w:divBdr>
    </w:div>
    <w:div w:id="1406149399">
      <w:bodyDiv w:val="1"/>
      <w:marLeft w:val="0"/>
      <w:marRight w:val="0"/>
      <w:marTop w:val="0"/>
      <w:marBottom w:val="0"/>
      <w:divBdr>
        <w:top w:val="none" w:sz="0" w:space="0" w:color="auto"/>
        <w:left w:val="none" w:sz="0" w:space="0" w:color="auto"/>
        <w:bottom w:val="none" w:sz="0" w:space="0" w:color="auto"/>
        <w:right w:val="none" w:sz="0" w:space="0" w:color="auto"/>
      </w:divBdr>
    </w:div>
    <w:div w:id="1432359786">
      <w:bodyDiv w:val="1"/>
      <w:marLeft w:val="0"/>
      <w:marRight w:val="0"/>
      <w:marTop w:val="0"/>
      <w:marBottom w:val="0"/>
      <w:divBdr>
        <w:top w:val="none" w:sz="0" w:space="0" w:color="auto"/>
        <w:left w:val="none" w:sz="0" w:space="0" w:color="auto"/>
        <w:bottom w:val="none" w:sz="0" w:space="0" w:color="auto"/>
        <w:right w:val="none" w:sz="0" w:space="0" w:color="auto"/>
      </w:divBdr>
    </w:div>
    <w:div w:id="1452285278">
      <w:bodyDiv w:val="1"/>
      <w:marLeft w:val="0"/>
      <w:marRight w:val="0"/>
      <w:marTop w:val="0"/>
      <w:marBottom w:val="0"/>
      <w:divBdr>
        <w:top w:val="none" w:sz="0" w:space="0" w:color="auto"/>
        <w:left w:val="none" w:sz="0" w:space="0" w:color="auto"/>
        <w:bottom w:val="none" w:sz="0" w:space="0" w:color="auto"/>
        <w:right w:val="none" w:sz="0" w:space="0" w:color="auto"/>
      </w:divBdr>
    </w:div>
    <w:div w:id="1485003163">
      <w:bodyDiv w:val="1"/>
      <w:marLeft w:val="0"/>
      <w:marRight w:val="0"/>
      <w:marTop w:val="0"/>
      <w:marBottom w:val="0"/>
      <w:divBdr>
        <w:top w:val="none" w:sz="0" w:space="0" w:color="auto"/>
        <w:left w:val="none" w:sz="0" w:space="0" w:color="auto"/>
        <w:bottom w:val="none" w:sz="0" w:space="0" w:color="auto"/>
        <w:right w:val="none" w:sz="0" w:space="0" w:color="auto"/>
      </w:divBdr>
    </w:div>
    <w:div w:id="1519999892">
      <w:bodyDiv w:val="1"/>
      <w:marLeft w:val="0"/>
      <w:marRight w:val="0"/>
      <w:marTop w:val="0"/>
      <w:marBottom w:val="0"/>
      <w:divBdr>
        <w:top w:val="none" w:sz="0" w:space="0" w:color="auto"/>
        <w:left w:val="none" w:sz="0" w:space="0" w:color="auto"/>
        <w:bottom w:val="none" w:sz="0" w:space="0" w:color="auto"/>
        <w:right w:val="none" w:sz="0" w:space="0" w:color="auto"/>
      </w:divBdr>
    </w:div>
    <w:div w:id="1545217558">
      <w:bodyDiv w:val="1"/>
      <w:marLeft w:val="0"/>
      <w:marRight w:val="0"/>
      <w:marTop w:val="0"/>
      <w:marBottom w:val="0"/>
      <w:divBdr>
        <w:top w:val="none" w:sz="0" w:space="0" w:color="auto"/>
        <w:left w:val="none" w:sz="0" w:space="0" w:color="auto"/>
        <w:bottom w:val="none" w:sz="0" w:space="0" w:color="auto"/>
        <w:right w:val="none" w:sz="0" w:space="0" w:color="auto"/>
      </w:divBdr>
    </w:div>
    <w:div w:id="1599287343">
      <w:bodyDiv w:val="1"/>
      <w:marLeft w:val="0"/>
      <w:marRight w:val="0"/>
      <w:marTop w:val="0"/>
      <w:marBottom w:val="0"/>
      <w:divBdr>
        <w:top w:val="none" w:sz="0" w:space="0" w:color="auto"/>
        <w:left w:val="none" w:sz="0" w:space="0" w:color="auto"/>
        <w:bottom w:val="none" w:sz="0" w:space="0" w:color="auto"/>
        <w:right w:val="none" w:sz="0" w:space="0" w:color="auto"/>
      </w:divBdr>
      <w:divsChild>
        <w:div w:id="532039454">
          <w:marLeft w:val="0"/>
          <w:marRight w:val="0"/>
          <w:marTop w:val="0"/>
          <w:marBottom w:val="0"/>
          <w:divBdr>
            <w:top w:val="none" w:sz="0" w:space="0" w:color="auto"/>
            <w:left w:val="none" w:sz="0" w:space="0" w:color="auto"/>
            <w:bottom w:val="none" w:sz="0" w:space="0" w:color="auto"/>
            <w:right w:val="none" w:sz="0" w:space="0" w:color="auto"/>
          </w:divBdr>
        </w:div>
      </w:divsChild>
    </w:div>
    <w:div w:id="1700428701">
      <w:bodyDiv w:val="1"/>
      <w:marLeft w:val="0"/>
      <w:marRight w:val="0"/>
      <w:marTop w:val="0"/>
      <w:marBottom w:val="0"/>
      <w:divBdr>
        <w:top w:val="none" w:sz="0" w:space="0" w:color="auto"/>
        <w:left w:val="none" w:sz="0" w:space="0" w:color="auto"/>
        <w:bottom w:val="none" w:sz="0" w:space="0" w:color="auto"/>
        <w:right w:val="none" w:sz="0" w:space="0" w:color="auto"/>
      </w:divBdr>
    </w:div>
    <w:div w:id="1810172405">
      <w:bodyDiv w:val="1"/>
      <w:marLeft w:val="0"/>
      <w:marRight w:val="0"/>
      <w:marTop w:val="0"/>
      <w:marBottom w:val="0"/>
      <w:divBdr>
        <w:top w:val="none" w:sz="0" w:space="0" w:color="auto"/>
        <w:left w:val="none" w:sz="0" w:space="0" w:color="auto"/>
        <w:bottom w:val="none" w:sz="0" w:space="0" w:color="auto"/>
        <w:right w:val="none" w:sz="0" w:space="0" w:color="auto"/>
      </w:divBdr>
    </w:div>
    <w:div w:id="1816988580">
      <w:bodyDiv w:val="1"/>
      <w:marLeft w:val="0"/>
      <w:marRight w:val="0"/>
      <w:marTop w:val="0"/>
      <w:marBottom w:val="0"/>
      <w:divBdr>
        <w:top w:val="none" w:sz="0" w:space="0" w:color="auto"/>
        <w:left w:val="none" w:sz="0" w:space="0" w:color="auto"/>
        <w:bottom w:val="none" w:sz="0" w:space="0" w:color="auto"/>
        <w:right w:val="none" w:sz="0" w:space="0" w:color="auto"/>
      </w:divBdr>
    </w:div>
    <w:div w:id="1836073100">
      <w:bodyDiv w:val="1"/>
      <w:marLeft w:val="0"/>
      <w:marRight w:val="0"/>
      <w:marTop w:val="0"/>
      <w:marBottom w:val="0"/>
      <w:divBdr>
        <w:top w:val="none" w:sz="0" w:space="0" w:color="auto"/>
        <w:left w:val="none" w:sz="0" w:space="0" w:color="auto"/>
        <w:bottom w:val="none" w:sz="0" w:space="0" w:color="auto"/>
        <w:right w:val="none" w:sz="0" w:space="0" w:color="auto"/>
      </w:divBdr>
    </w:div>
    <w:div w:id="1837768637">
      <w:bodyDiv w:val="1"/>
      <w:marLeft w:val="0"/>
      <w:marRight w:val="0"/>
      <w:marTop w:val="0"/>
      <w:marBottom w:val="0"/>
      <w:divBdr>
        <w:top w:val="none" w:sz="0" w:space="0" w:color="auto"/>
        <w:left w:val="none" w:sz="0" w:space="0" w:color="auto"/>
        <w:bottom w:val="none" w:sz="0" w:space="0" w:color="auto"/>
        <w:right w:val="none" w:sz="0" w:space="0" w:color="auto"/>
      </w:divBdr>
    </w:div>
    <w:div w:id="1903518272">
      <w:bodyDiv w:val="1"/>
      <w:marLeft w:val="0"/>
      <w:marRight w:val="0"/>
      <w:marTop w:val="0"/>
      <w:marBottom w:val="0"/>
      <w:divBdr>
        <w:top w:val="none" w:sz="0" w:space="0" w:color="auto"/>
        <w:left w:val="none" w:sz="0" w:space="0" w:color="auto"/>
        <w:bottom w:val="none" w:sz="0" w:space="0" w:color="auto"/>
        <w:right w:val="none" w:sz="0" w:space="0" w:color="auto"/>
      </w:divBdr>
      <w:divsChild>
        <w:div w:id="463351557">
          <w:marLeft w:val="0"/>
          <w:marRight w:val="0"/>
          <w:marTop w:val="0"/>
          <w:marBottom w:val="0"/>
          <w:divBdr>
            <w:top w:val="none" w:sz="0" w:space="0" w:color="auto"/>
            <w:left w:val="none" w:sz="0" w:space="0" w:color="auto"/>
            <w:bottom w:val="none" w:sz="0" w:space="0" w:color="auto"/>
            <w:right w:val="none" w:sz="0" w:space="0" w:color="auto"/>
          </w:divBdr>
        </w:div>
      </w:divsChild>
    </w:div>
    <w:div w:id="1911309454">
      <w:bodyDiv w:val="1"/>
      <w:marLeft w:val="0"/>
      <w:marRight w:val="0"/>
      <w:marTop w:val="0"/>
      <w:marBottom w:val="0"/>
      <w:divBdr>
        <w:top w:val="none" w:sz="0" w:space="0" w:color="auto"/>
        <w:left w:val="none" w:sz="0" w:space="0" w:color="auto"/>
        <w:bottom w:val="none" w:sz="0" w:space="0" w:color="auto"/>
        <w:right w:val="none" w:sz="0" w:space="0" w:color="auto"/>
      </w:divBdr>
    </w:div>
    <w:div w:id="1966615648">
      <w:bodyDiv w:val="1"/>
      <w:marLeft w:val="0"/>
      <w:marRight w:val="0"/>
      <w:marTop w:val="0"/>
      <w:marBottom w:val="0"/>
      <w:divBdr>
        <w:top w:val="none" w:sz="0" w:space="0" w:color="auto"/>
        <w:left w:val="none" w:sz="0" w:space="0" w:color="auto"/>
        <w:bottom w:val="none" w:sz="0" w:space="0" w:color="auto"/>
        <w:right w:val="none" w:sz="0" w:space="0" w:color="auto"/>
      </w:divBdr>
    </w:div>
    <w:div w:id="2032336908">
      <w:bodyDiv w:val="1"/>
      <w:marLeft w:val="0"/>
      <w:marRight w:val="0"/>
      <w:marTop w:val="0"/>
      <w:marBottom w:val="0"/>
      <w:divBdr>
        <w:top w:val="none" w:sz="0" w:space="0" w:color="auto"/>
        <w:left w:val="none" w:sz="0" w:space="0" w:color="auto"/>
        <w:bottom w:val="none" w:sz="0" w:space="0" w:color="auto"/>
        <w:right w:val="none" w:sz="0" w:space="0" w:color="auto"/>
      </w:divBdr>
    </w:div>
    <w:div w:id="20716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ederalregister.gov/d/2021-10283/p-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4558-E4D5-4B42-A3CF-F7FC8587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RRA II CA9 Answering Brief</vt:lpstr>
    </vt:vector>
  </TitlesOfParts>
  <Company>Latham &amp; Watkins</Company>
  <LinksUpToDate>false</LinksUpToDate>
  <CharactersWithSpaces>23139</CharactersWithSpaces>
  <SharedDoc>false</SharedDoc>
  <HLinks>
    <vt:vector size="6" baseType="variant">
      <vt:variant>
        <vt:i4>2162749</vt:i4>
      </vt:variant>
      <vt:variant>
        <vt:i4>45</vt:i4>
      </vt:variant>
      <vt:variant>
        <vt:i4>0</vt:i4>
      </vt:variant>
      <vt:variant>
        <vt:i4>5</vt:i4>
      </vt:variant>
      <vt:variant>
        <vt:lpwstr>https://www.federalregister.gov/d/2021-10283/p-398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RRA II CA9 Answering Brief</dc:title>
  <dc:subject/>
  <dc:creator>Freeman, Wilson</dc:creator>
  <cp:keywords/>
  <cp:lastModifiedBy>Ensign, Drew</cp:lastModifiedBy>
  <cp:revision>5</cp:revision>
  <cp:lastPrinted>2021-10-14T21:39:00Z</cp:lastPrinted>
  <dcterms:created xsi:type="dcterms:W3CDTF">2021-10-14T21:33:00Z</dcterms:created>
  <dcterms:modified xsi:type="dcterms:W3CDTF">2021-10-14T22:15:00Z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sAAAE34RQVAK31mfGGhHhPIpRWOIfg8OWQDYI7/xtoDB38Y=</vt:lpwstr>
  </property>
  <property fmtid="{D5CDD505-2E9C-101B-9397-08002B2CF9AE}" pid="3" name="MAIL_MSG_ID1">
    <vt:lpwstr>sAAAE34RQVAK31lmIb4pzMBHjL874AiwgEjo8m21Q1EJ/XM=</vt:lpwstr>
  </property>
  <property fmtid="{D5CDD505-2E9C-101B-9397-08002B2CF9AE}" pid="4" name="EMAIL_OWNER_ADDRESS">
    <vt:lpwstr>sAAAE34RQVAK31n/YEwbiHkbUk2jb4tRIafGnWz1nOZ8g58=</vt:lpwstr>
  </property>
</Properties>
</file>