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4964" w14:textId="685E40B6" w:rsidR="001E137B" w:rsidRDefault="001E137B" w:rsidP="001E137B">
      <w:pPr>
        <w:pStyle w:val="Title"/>
        <w:kinsoku w:val="0"/>
        <w:overflowPunct w:val="0"/>
        <w:rPr>
          <w:sz w:val="20"/>
          <w:szCs w:val="20"/>
        </w:rPr>
      </w:pPr>
    </w:p>
    <w:p w14:paraId="5904C5FB" w14:textId="2B0B6BBA" w:rsidR="00C7783A" w:rsidRDefault="00C7783A" w:rsidP="00D338E9">
      <w:pPr>
        <w:jc w:val="center"/>
      </w:pPr>
    </w:p>
    <w:p w14:paraId="6E4B8080" w14:textId="11C6313F" w:rsidR="00D338E9" w:rsidRPr="00682BD6" w:rsidRDefault="0047742E" w:rsidP="00D338E9">
      <w:pPr>
        <w:jc w:val="center"/>
      </w:pPr>
      <w:r>
        <w:t>March 31</w:t>
      </w:r>
      <w:r w:rsidR="00EB6BD2">
        <w:t>, 2022</w:t>
      </w:r>
    </w:p>
    <w:p w14:paraId="618DAC74" w14:textId="77777777" w:rsidR="00D338E9" w:rsidRPr="00682BD6" w:rsidRDefault="00D338E9" w:rsidP="00D338E9"/>
    <w:p w14:paraId="5BFC15B4" w14:textId="34B1F52D" w:rsidR="003A3579" w:rsidRDefault="0047742E" w:rsidP="00D338E9">
      <w:r w:rsidRPr="0047742E">
        <w:t>Comment Intake—Fee Assessment</w:t>
      </w:r>
    </w:p>
    <w:p w14:paraId="3826E17F" w14:textId="2B862696" w:rsidR="003A3579" w:rsidRDefault="0047742E" w:rsidP="00D338E9">
      <w:r>
        <w:t>Consumer Financial Protection Bureau</w:t>
      </w:r>
    </w:p>
    <w:p w14:paraId="29F06978" w14:textId="44AC47AC" w:rsidR="003A3579" w:rsidRDefault="0047742E" w:rsidP="00D338E9">
      <w:r>
        <w:t>1700 G Street, NW</w:t>
      </w:r>
    </w:p>
    <w:p w14:paraId="4AF340D9" w14:textId="777FFE9F" w:rsidR="00EB6BD2" w:rsidRDefault="003A3579" w:rsidP="00D338E9">
      <w:r w:rsidRPr="003A3579">
        <w:t>Washington, DC 20</w:t>
      </w:r>
      <w:r w:rsidR="0047742E">
        <w:t>552</w:t>
      </w:r>
    </w:p>
    <w:p w14:paraId="79A15AD3" w14:textId="77777777" w:rsidR="003A3579" w:rsidRPr="00682BD6" w:rsidRDefault="003A3579" w:rsidP="00D338E9"/>
    <w:p w14:paraId="51AC9BB0" w14:textId="461CB6D8" w:rsidR="00C7783A" w:rsidRDefault="00C7783A" w:rsidP="00EB6BD2">
      <w:r w:rsidRPr="00682BD6">
        <w:t xml:space="preserve">Submitted via </w:t>
      </w:r>
      <w:r w:rsidR="00EB6BD2" w:rsidRPr="00EB6BD2">
        <w:t>https://www.regulations.gov</w:t>
      </w:r>
    </w:p>
    <w:p w14:paraId="3896F313" w14:textId="77777777" w:rsidR="00EB6BD2" w:rsidRPr="00682BD6" w:rsidRDefault="00EB6BD2" w:rsidP="00EB6BD2"/>
    <w:p w14:paraId="64D3ADC2" w14:textId="1D47CBFB" w:rsidR="00D338E9" w:rsidRDefault="00D338E9" w:rsidP="00D338E9">
      <w:pPr>
        <w:ind w:left="720"/>
      </w:pPr>
      <w:r w:rsidRPr="00682BD6">
        <w:t xml:space="preserve">Re: </w:t>
      </w:r>
      <w:r w:rsidR="0047742E" w:rsidRPr="0047742E">
        <w:t>Request for Information Regarding Fees Imposed by Providers of Consumer Financial Products or Services</w:t>
      </w:r>
      <w:r w:rsidR="00EB6BD2">
        <w:t xml:space="preserve">, </w:t>
      </w:r>
      <w:r w:rsidR="003A3579" w:rsidRPr="003A3579">
        <w:t xml:space="preserve">Docket ID </w:t>
      </w:r>
      <w:r w:rsidR="0047742E" w:rsidRPr="0047742E">
        <w:t>CFPB-2022-0003</w:t>
      </w:r>
      <w:r w:rsidR="0047742E">
        <w:t xml:space="preserve"> </w:t>
      </w:r>
      <w:r w:rsidR="00EC4BD0" w:rsidRPr="00EC4BD0">
        <w:t>(</w:t>
      </w:r>
      <w:r w:rsidR="0047742E">
        <w:t>February 2</w:t>
      </w:r>
      <w:r w:rsidR="00EC4BD0" w:rsidRPr="00EC4BD0">
        <w:t>, 202</w:t>
      </w:r>
      <w:r w:rsidR="0047742E">
        <w:t>2</w:t>
      </w:r>
      <w:r w:rsidR="00EC4BD0" w:rsidRPr="00EC4BD0">
        <w:t>)</w:t>
      </w:r>
    </w:p>
    <w:p w14:paraId="76B78EDF" w14:textId="77777777" w:rsidR="003A3579" w:rsidRPr="00682BD6" w:rsidRDefault="003A3579" w:rsidP="00D338E9">
      <w:pPr>
        <w:ind w:left="720"/>
      </w:pPr>
    </w:p>
    <w:p w14:paraId="27BDCD69" w14:textId="77777777" w:rsidR="00D338E9" w:rsidRPr="00682BD6" w:rsidRDefault="00D338E9" w:rsidP="00D338E9">
      <w:r w:rsidRPr="00682BD6">
        <w:t>Dear Sir/Madam:</w:t>
      </w:r>
    </w:p>
    <w:p w14:paraId="377E0398" w14:textId="77777777" w:rsidR="00D338E9" w:rsidRPr="00682BD6" w:rsidRDefault="00D338E9" w:rsidP="00D338E9"/>
    <w:p w14:paraId="6468C5D9" w14:textId="67E190D1" w:rsidR="0047742E" w:rsidRDefault="0047742E" w:rsidP="006C4C9A">
      <w:pPr>
        <w:ind w:firstLine="720"/>
      </w:pPr>
      <w:bookmarkStart w:id="0" w:name="_Hlk89873595"/>
      <w:r w:rsidRPr="002727B8">
        <w:t>The undersigned Attorneys General</w:t>
      </w:r>
      <w:r>
        <w:t xml:space="preserve"> </w:t>
      </w:r>
      <w:r w:rsidRPr="002727B8">
        <w:t>submit this comment in response to the Consumer Financial Protection Bureau’s (</w:t>
      </w:r>
      <w:r>
        <w:t>“</w:t>
      </w:r>
      <w:r w:rsidRPr="002727B8">
        <w:t>CFPB</w:t>
      </w:r>
      <w:r>
        <w:t>”</w:t>
      </w:r>
      <w:r w:rsidRPr="002727B8">
        <w:t>)’s Request for Information Regarding Fees Imposed by Providers of Consumer Financial Products or Services (</w:t>
      </w:r>
      <w:r>
        <w:t>“</w:t>
      </w:r>
      <w:r w:rsidRPr="002727B8">
        <w:t>RFI</w:t>
      </w:r>
      <w:r>
        <w:t>”</w:t>
      </w:r>
      <w:r w:rsidRPr="002727B8">
        <w:t>).</w:t>
      </w:r>
      <w:r w:rsidRPr="002727B8">
        <w:rPr>
          <w:rStyle w:val="FootnoteReference"/>
        </w:rPr>
        <w:footnoteReference w:id="1"/>
      </w:r>
    </w:p>
    <w:p w14:paraId="537D808F" w14:textId="77777777" w:rsidR="006C4C9A" w:rsidRPr="002727B8" w:rsidRDefault="006C4C9A" w:rsidP="0047742E"/>
    <w:p w14:paraId="227AFD16" w14:textId="0B6A4A30" w:rsidR="0047742E" w:rsidRDefault="0047742E" w:rsidP="006C4C9A">
      <w:pPr>
        <w:ind w:firstLine="720"/>
      </w:pPr>
      <w:r>
        <w:t xml:space="preserve">The undersigned are ready to cooperate and coordinate with the CFPB to advance its statutory purpose of </w:t>
      </w:r>
      <w:r w:rsidRPr="00BA6FF4">
        <w:t>“</w:t>
      </w:r>
      <w:r w:rsidRPr="00274570">
        <w:rPr>
          <w:color w:val="333333"/>
          <w:shd w:val="clear" w:color="auto" w:fill="FFFFFF"/>
        </w:rPr>
        <w:t>ensuring that all</w:t>
      </w:r>
      <w:r>
        <w:t xml:space="preserve"> consumers </w:t>
      </w:r>
      <w:r w:rsidRPr="00274570">
        <w:rPr>
          <w:color w:val="333333"/>
          <w:shd w:val="clear" w:color="auto" w:fill="FFFFFF"/>
        </w:rPr>
        <w:t>have access to markets for</w:t>
      </w:r>
      <w:r>
        <w:t xml:space="preserve"> consumer</w:t>
      </w:r>
      <w:r w:rsidRPr="00274570">
        <w:rPr>
          <w:color w:val="333333"/>
          <w:shd w:val="clear" w:color="auto" w:fill="FFFFFF"/>
        </w:rPr>
        <w:t xml:space="preserve"> financial products and services and that markets for</w:t>
      </w:r>
      <w:r>
        <w:t xml:space="preserve"> consumer</w:t>
      </w:r>
      <w:r w:rsidRPr="00274570">
        <w:rPr>
          <w:color w:val="333333"/>
          <w:shd w:val="clear" w:color="auto" w:fill="FFFFFF"/>
        </w:rPr>
        <w:t xml:space="preserve"> financial products and services are fair, transparent, and competitive.”</w:t>
      </w:r>
      <w:r w:rsidRPr="00274570">
        <w:rPr>
          <w:rStyle w:val="FootnoteReference"/>
          <w:color w:val="333333"/>
          <w:shd w:val="clear" w:color="auto" w:fill="FFFFFF"/>
        </w:rPr>
        <w:footnoteReference w:id="2"/>
      </w:r>
      <w:r>
        <w:rPr>
          <w:rFonts w:ascii="Verdana" w:hAnsi="Verdana"/>
          <w:color w:val="333333"/>
          <w:shd w:val="clear" w:color="auto" w:fill="FFFFFF"/>
        </w:rPr>
        <w:t xml:space="preserve"> </w:t>
      </w:r>
      <w:r>
        <w:t xml:space="preserve">We believe that the interests of consumers and consumer financial services markets are best served when government agencies and authorities, both state and federal, work together. Based on our review of the RFI, however, we fear the CFPB may hold a different view, one which is predicated on the primacy of the CFPB.  </w:t>
      </w:r>
    </w:p>
    <w:p w14:paraId="634BF401" w14:textId="77777777" w:rsidR="0047742E" w:rsidRDefault="0047742E" w:rsidP="0047742E"/>
    <w:p w14:paraId="73DCC159" w14:textId="25E8BB88" w:rsidR="0047742E" w:rsidRDefault="0047742E" w:rsidP="006C4C9A">
      <w:pPr>
        <w:ind w:firstLine="720"/>
      </w:pPr>
      <w:r>
        <w:t xml:space="preserve">This approach is especially troubling in the context of this RFI, which pointedly fails to acknowledge the significant role state law plays in many aspects of the fees implicated by the RFI. Unfortunately, the only role the CFPB contemplates for states is to provide comments to the RFI, along with consumers, consumer advocates, and industry.  </w:t>
      </w:r>
    </w:p>
    <w:p w14:paraId="76F25E40" w14:textId="77777777" w:rsidR="0047742E" w:rsidRDefault="0047742E" w:rsidP="0047742E"/>
    <w:p w14:paraId="4B16C53F" w14:textId="77777777" w:rsidR="0047742E" w:rsidRDefault="0047742E" w:rsidP="006C4C9A">
      <w:pPr>
        <w:ind w:firstLine="720"/>
      </w:pPr>
      <w:r>
        <w:t xml:space="preserve">The undersigned will continue to advocate for a different approach guided by respect for and understanding of the states’ important role in the regulation of fees in consumer financial services markets as well as a recognition of the CFPB’s limited authority to regulate these fees.  </w:t>
      </w:r>
    </w:p>
    <w:p w14:paraId="4399CF70" w14:textId="77777777" w:rsidR="0047742E" w:rsidRDefault="0047742E" w:rsidP="0047742E"/>
    <w:p w14:paraId="7EB7D573" w14:textId="77777777" w:rsidR="0047742E" w:rsidRPr="002A6C1B" w:rsidRDefault="0047742E" w:rsidP="006C4C9A">
      <w:pPr>
        <w:pStyle w:val="ListParagraph"/>
        <w:numPr>
          <w:ilvl w:val="0"/>
          <w:numId w:val="17"/>
        </w:numPr>
        <w:ind w:left="720"/>
        <w:rPr>
          <w:rFonts w:ascii="Times New Roman" w:hAnsi="Times New Roman" w:cs="Times New Roman"/>
          <w:b/>
          <w:bCs/>
        </w:rPr>
      </w:pPr>
      <w:r>
        <w:rPr>
          <w:rFonts w:ascii="Times New Roman" w:hAnsi="Times New Roman" w:cs="Times New Roman"/>
          <w:b/>
          <w:bCs/>
        </w:rPr>
        <w:lastRenderedPageBreak/>
        <w:t>The RFI fails to acknowledge that in many cases, s</w:t>
      </w:r>
      <w:r w:rsidRPr="002A6C1B">
        <w:rPr>
          <w:rFonts w:ascii="Times New Roman" w:hAnsi="Times New Roman" w:cs="Times New Roman"/>
          <w:b/>
          <w:bCs/>
        </w:rPr>
        <w:t xml:space="preserve">tate law appropriately regulates fees and expenses in </w:t>
      </w:r>
      <w:r>
        <w:rPr>
          <w:rFonts w:ascii="Times New Roman" w:hAnsi="Times New Roman" w:cs="Times New Roman"/>
          <w:b/>
          <w:bCs/>
        </w:rPr>
        <w:t xml:space="preserve">consumer </w:t>
      </w:r>
      <w:r w:rsidRPr="002A6C1B">
        <w:rPr>
          <w:rFonts w:ascii="Times New Roman" w:hAnsi="Times New Roman" w:cs="Times New Roman"/>
          <w:b/>
          <w:bCs/>
        </w:rPr>
        <w:t xml:space="preserve">financial </w:t>
      </w:r>
      <w:r>
        <w:rPr>
          <w:rFonts w:ascii="Times New Roman" w:hAnsi="Times New Roman" w:cs="Times New Roman"/>
          <w:b/>
          <w:bCs/>
        </w:rPr>
        <w:t>products or services,</w:t>
      </w:r>
      <w:r w:rsidRPr="002A6C1B">
        <w:rPr>
          <w:rFonts w:ascii="Times New Roman" w:hAnsi="Times New Roman" w:cs="Times New Roman"/>
          <w:b/>
          <w:bCs/>
        </w:rPr>
        <w:t xml:space="preserve"> </w:t>
      </w:r>
      <w:r>
        <w:rPr>
          <w:rFonts w:ascii="Times New Roman" w:hAnsi="Times New Roman" w:cs="Times New Roman"/>
          <w:b/>
          <w:bCs/>
        </w:rPr>
        <w:t xml:space="preserve">potentially rendering additional federal oversight duplicative. </w:t>
      </w:r>
    </w:p>
    <w:p w14:paraId="6D848DD7" w14:textId="77777777" w:rsidR="0047742E" w:rsidRDefault="0047742E" w:rsidP="0047742E"/>
    <w:p w14:paraId="1142750F" w14:textId="1D31BC05" w:rsidR="0047742E" w:rsidRDefault="0047742E" w:rsidP="006C4C9A">
      <w:pPr>
        <w:ind w:firstLine="720"/>
      </w:pPr>
      <w:r>
        <w:t xml:space="preserve">The CFPB requests further information about </w:t>
      </w:r>
      <w:r w:rsidRPr="00BA6FF4">
        <w:t>“</w:t>
      </w:r>
      <w:r w:rsidRPr="00274570">
        <w:t>junk fees—exploitative, back-end, hidden, or excessive fees</w:t>
      </w:r>
      <w:r>
        <w:t>.</w:t>
      </w:r>
      <w:r w:rsidRPr="00BA6FF4">
        <w:t>”</w:t>
      </w:r>
      <w:r w:rsidR="00F669DF">
        <w:rPr>
          <w:rStyle w:val="FootnoteReference"/>
        </w:rPr>
        <w:footnoteReference w:id="3"/>
      </w:r>
      <w:r>
        <w:t xml:space="preserve"> The RFI, however, is drafted so broadly as to cover almost any fee charged to a consumer in connection with a consumer financial service transaction. The RFI, for example, identifies objectionable fees as “…inflated or surprise fees that, however nominally voluntary, are not meaningfully avoidable or negotiable in the moment.”</w:t>
      </w:r>
      <w:r w:rsidR="007C55BB">
        <w:rPr>
          <w:rStyle w:val="FootnoteReference"/>
        </w:rPr>
        <w:footnoteReference w:id="4"/>
      </w:r>
      <w:r>
        <w:t xml:space="preserve"> This language suggests the CFPB is predisposed to create a subjective standard for the identification of problematic fees, and appropriate to itself the sole authority to determine which fees are acceptable and which are not.   </w:t>
      </w:r>
    </w:p>
    <w:p w14:paraId="3D916EFB" w14:textId="77777777" w:rsidR="0047742E" w:rsidRDefault="0047742E" w:rsidP="0047742E"/>
    <w:p w14:paraId="0F5B654F" w14:textId="3E1A8C39" w:rsidR="0047742E" w:rsidRDefault="0047742E" w:rsidP="006C4C9A">
      <w:pPr>
        <w:ind w:firstLine="720"/>
      </w:pPr>
      <w:r>
        <w:t>Most significantly to the undersigned, the broad and subjective language of the RFI potentially</w:t>
      </w:r>
      <w:r w:rsidRPr="00280BF4">
        <w:t xml:space="preserve"> covers any number of fees, including those specifical</w:t>
      </w:r>
      <w:r>
        <w:t>l</w:t>
      </w:r>
      <w:r w:rsidRPr="00280BF4">
        <w:t xml:space="preserve">y authorized </w:t>
      </w:r>
      <w:r>
        <w:t xml:space="preserve">or </w:t>
      </w:r>
      <w:r w:rsidRPr="00280BF4">
        <w:t>regulated by state law.</w:t>
      </w:r>
      <w:r>
        <w:t xml:space="preserve"> Further, the broad language used in the RFI suggests that the CFPB may intend to exercise its authority to impose substantive limits on fees charged in consumer financial service markets, including, potentially, fees authorized or otherwise regulated by state law. </w:t>
      </w:r>
    </w:p>
    <w:p w14:paraId="404A3E2C" w14:textId="77777777" w:rsidR="0047742E" w:rsidRDefault="0047742E" w:rsidP="0047742E"/>
    <w:p w14:paraId="7B3FF9D8" w14:textId="45125EA5" w:rsidR="0047742E" w:rsidRDefault="0047742E" w:rsidP="006C4C9A">
      <w:pPr>
        <w:ind w:firstLine="720"/>
      </w:pPr>
      <w:r>
        <w:t>S</w:t>
      </w:r>
      <w:r w:rsidRPr="005D6315">
        <w:t xml:space="preserve">tate contract law </w:t>
      </w:r>
      <w:r>
        <w:t>provid</w:t>
      </w:r>
      <w:r w:rsidRPr="005D6315">
        <w:t xml:space="preserve">es the foundation for </w:t>
      </w:r>
      <w:r>
        <w:t>the</w:t>
      </w:r>
      <w:r w:rsidRPr="005D6315">
        <w:t xml:space="preserve"> relationship between a consumer and </w:t>
      </w:r>
      <w:r>
        <w:t xml:space="preserve">a </w:t>
      </w:r>
      <w:r w:rsidRPr="005D6315">
        <w:t xml:space="preserve">consumer financial services provider. </w:t>
      </w:r>
      <w:r>
        <w:t>For more than one hundred years, s</w:t>
      </w:r>
      <w:r w:rsidRPr="005D6315">
        <w:t xml:space="preserve">tates </w:t>
      </w:r>
      <w:r>
        <w:t xml:space="preserve">have imposed substantive limitations on consumer financial services contracts, including but not limited to usury and rate limits, disclosure requirements, default requirements and remedies, and have imposed licensing requirements on consumer financial service providers. States have also specifically authorized the imposition of many types of fees. </w:t>
      </w:r>
    </w:p>
    <w:p w14:paraId="6060C7D5" w14:textId="77777777" w:rsidR="0047742E" w:rsidRDefault="0047742E" w:rsidP="0047742E"/>
    <w:p w14:paraId="7BDF13A9" w14:textId="09897F01" w:rsidR="0047742E" w:rsidRDefault="0047742E" w:rsidP="006C4C9A">
      <w:pPr>
        <w:ind w:firstLine="720"/>
      </w:pPr>
      <w:r>
        <w:t xml:space="preserve">In imposing these substantive limits on consumer financial services, and in authorizing and regulating fees, state legislatures and regulators have carefully weighed consumer protection interests and the open and transparent operation of markets in a manner intended to deliver the maximum benefit to the interests of their states.  State legislatures and regulators are much better positioned to understand and assess the diverse interests of their states.  This is particularly true with respect to the authorization and regulation of fees, as state authorities have a deep understanding of and interest in the </w:t>
      </w:r>
      <w:proofErr w:type="gramStart"/>
      <w:r>
        <w:t>particular economic</w:t>
      </w:r>
      <w:proofErr w:type="gramEnd"/>
      <w:r>
        <w:t xml:space="preserve"> circumstances of their state and the impact of fees on their state’s consumers and markets.</w:t>
      </w:r>
      <w:r w:rsidR="009717BE">
        <w:rPr>
          <w:rStyle w:val="FootnoteReference"/>
        </w:rPr>
        <w:footnoteReference w:id="5"/>
      </w:r>
      <w:r>
        <w:t xml:space="preserve">    </w:t>
      </w:r>
    </w:p>
    <w:p w14:paraId="38024011" w14:textId="77777777" w:rsidR="0047742E" w:rsidRDefault="0047742E" w:rsidP="0047742E"/>
    <w:p w14:paraId="4960A7D0" w14:textId="77777777" w:rsidR="0047742E" w:rsidRDefault="0047742E" w:rsidP="006C4C9A">
      <w:pPr>
        <w:ind w:firstLine="720"/>
      </w:pPr>
      <w:r>
        <w:t>Some of the fees specifically authorized by state law include the imposition of late fees in some consumer financial services transactions,</w:t>
      </w:r>
      <w:r>
        <w:rPr>
          <w:rStyle w:val="FootnoteReference"/>
        </w:rPr>
        <w:footnoteReference w:id="6"/>
      </w:r>
      <w:r>
        <w:t xml:space="preserve"> the imposition of NSF fees,</w:t>
      </w:r>
      <w:r>
        <w:rPr>
          <w:rStyle w:val="FootnoteReference"/>
        </w:rPr>
        <w:footnoteReference w:id="7"/>
      </w:r>
      <w:r>
        <w:t xml:space="preserve"> the imposition of </w:t>
      </w:r>
      <w:r>
        <w:lastRenderedPageBreak/>
        <w:t>application fees,</w:t>
      </w:r>
      <w:r>
        <w:rPr>
          <w:rStyle w:val="FootnoteReference"/>
        </w:rPr>
        <w:footnoteReference w:id="8"/>
      </w:r>
      <w:r>
        <w:t xml:space="preserve"> the imposition of administrative fees,</w:t>
      </w:r>
      <w:r>
        <w:rPr>
          <w:rStyle w:val="FootnoteReference"/>
        </w:rPr>
        <w:footnoteReference w:id="9"/>
      </w:r>
      <w:r>
        <w:t xml:space="preserve"> as well as modification and deferral fees.</w:t>
      </w:r>
      <w:r>
        <w:rPr>
          <w:rStyle w:val="FootnoteReference"/>
        </w:rPr>
        <w:footnoteReference w:id="10"/>
      </w:r>
      <w:r>
        <w:t xml:space="preserve">   </w:t>
      </w:r>
    </w:p>
    <w:p w14:paraId="1C12B606" w14:textId="77777777" w:rsidR="0047742E" w:rsidRPr="007471F8" w:rsidRDefault="0047742E" w:rsidP="0047742E">
      <w:pPr>
        <w:rPr>
          <w:i/>
          <w:iCs/>
        </w:rPr>
      </w:pPr>
    </w:p>
    <w:p w14:paraId="14DDC765" w14:textId="77777777" w:rsidR="0047742E" w:rsidRDefault="0047742E" w:rsidP="006C4C9A">
      <w:pPr>
        <w:ind w:firstLine="720"/>
      </w:pPr>
      <w:r>
        <w:t>Additionally, state law often specifically permits consumer financial services providers to recover or pass through “official” fees incurred, for example, in connection with the recordation of liens, titling or similar expenses.</w:t>
      </w:r>
      <w:r>
        <w:rPr>
          <w:rStyle w:val="FootnoteReference"/>
        </w:rPr>
        <w:footnoteReference w:id="11"/>
      </w:r>
      <w:r>
        <w:t xml:space="preserve">  Presumably, the CFPB does not intend to limit the ability of states and local governments to charge these fees or of consumer financial service providers to recover expenses arising from these fees.</w:t>
      </w:r>
    </w:p>
    <w:p w14:paraId="1B371E8C" w14:textId="77777777" w:rsidR="0047742E" w:rsidRPr="00395E41" w:rsidRDefault="0047742E" w:rsidP="0047742E"/>
    <w:p w14:paraId="2C9BA4D2" w14:textId="36E8DAA9" w:rsidR="0047742E" w:rsidRDefault="0047742E" w:rsidP="006C4C9A">
      <w:pPr>
        <w:ind w:firstLine="720"/>
      </w:pPr>
      <w:r>
        <w:t>State laws also provide specific disclosure requirements for some of the fees described above. For example, late fees authorized by state law are often subject to clear disclosure requirements which mandate disclosure of the amount of the fees, as well as the specific circumstances in which they may be charged.</w:t>
      </w:r>
      <w:r>
        <w:rPr>
          <w:rStyle w:val="FootnoteReference"/>
        </w:rPr>
        <w:footnoteReference w:id="12"/>
      </w:r>
      <w:r>
        <w:t xml:space="preserve">  </w:t>
      </w:r>
    </w:p>
    <w:p w14:paraId="6A0EDC76" w14:textId="77777777" w:rsidR="0047742E" w:rsidRDefault="0047742E" w:rsidP="0047742E"/>
    <w:p w14:paraId="572C8258" w14:textId="77777777" w:rsidR="0047742E" w:rsidRDefault="0047742E" w:rsidP="006C4C9A">
      <w:pPr>
        <w:ind w:firstLine="720"/>
      </w:pPr>
      <w:r>
        <w:t xml:space="preserve">State regulators conduct regular, comprehensive examinations of regulated financial services providers to ensure that the amount of fees being charged is correct, the circumstances in which the fees are being charged are permissible and the fees are adequately disclosed.   </w:t>
      </w:r>
    </w:p>
    <w:p w14:paraId="61913DE3" w14:textId="77777777" w:rsidR="0047742E" w:rsidRDefault="0047742E" w:rsidP="0047742E"/>
    <w:p w14:paraId="1C001817" w14:textId="7358FEDE" w:rsidR="0047742E" w:rsidRDefault="0047742E" w:rsidP="006C4C9A">
      <w:pPr>
        <w:ind w:firstLine="720"/>
      </w:pPr>
      <w:r>
        <w:t xml:space="preserve">In the event a consumer financial services provider fails to comply with substantive requirements relating to fees, state regulators and state </w:t>
      </w:r>
      <w:r w:rsidR="00024A55">
        <w:t>a</w:t>
      </w:r>
      <w:r>
        <w:t xml:space="preserve">ttorneys </w:t>
      </w:r>
      <w:r w:rsidR="00024A55">
        <w:t>g</w:t>
      </w:r>
      <w:r>
        <w:t>eneral stand ready to enforce applicable state law. Also, in the event a consumer financial services</w:t>
      </w:r>
      <w:r w:rsidRPr="00F20DCF">
        <w:t xml:space="preserve"> provider misleads consumers about the e</w:t>
      </w:r>
      <w:r>
        <w:t>xistence, amount</w:t>
      </w:r>
      <w:r w:rsidRPr="00F20DCF">
        <w:t>, or conditions under which a fee will be charged,</w:t>
      </w:r>
      <w:r>
        <w:t xml:space="preserve"> state</w:t>
      </w:r>
      <w:r w:rsidR="006A4191">
        <w:t xml:space="preserve"> regulators and state</w:t>
      </w:r>
      <w:r>
        <w:t xml:space="preserve"> </w:t>
      </w:r>
      <w:r w:rsidR="00024A55">
        <w:t>a</w:t>
      </w:r>
      <w:r>
        <w:t xml:space="preserve">ttorneys </w:t>
      </w:r>
      <w:r w:rsidR="00024A55">
        <w:t>g</w:t>
      </w:r>
      <w:r>
        <w:t xml:space="preserve">eneral may </w:t>
      </w:r>
      <w:proofErr w:type="gramStart"/>
      <w:r>
        <w:t>take action</w:t>
      </w:r>
      <w:proofErr w:type="gramEnd"/>
      <w:r>
        <w:t xml:space="preserve"> under state laws, including state laws prohibiting unfair or deceptive acts or practices.</w:t>
      </w:r>
      <w:r>
        <w:rPr>
          <w:rStyle w:val="FootnoteReference"/>
        </w:rPr>
        <w:footnoteReference w:id="13"/>
      </w:r>
      <w:r>
        <w:t xml:space="preserve"> </w:t>
      </w:r>
    </w:p>
    <w:p w14:paraId="4AA8F00A" w14:textId="77777777" w:rsidR="0047742E" w:rsidRDefault="0047742E" w:rsidP="0047742E"/>
    <w:p w14:paraId="4E0D86A0" w14:textId="50B4E75F" w:rsidR="0047742E" w:rsidRPr="00CC1EEB" w:rsidRDefault="0047742E" w:rsidP="006C4C9A">
      <w:pPr>
        <w:pStyle w:val="ListParagraph"/>
        <w:numPr>
          <w:ilvl w:val="0"/>
          <w:numId w:val="17"/>
        </w:numPr>
        <w:ind w:left="720"/>
        <w:rPr>
          <w:rFonts w:ascii="Times New Roman" w:hAnsi="Times New Roman" w:cs="Times New Roman"/>
          <w:b/>
          <w:bCs/>
        </w:rPr>
      </w:pPr>
      <w:r w:rsidRPr="00CC1EEB">
        <w:rPr>
          <w:rFonts w:ascii="Times New Roman" w:hAnsi="Times New Roman" w:cs="Times New Roman"/>
          <w:b/>
          <w:bCs/>
        </w:rPr>
        <w:t>The CFPB’s authority to regulate fees in consumer financial services markets is limited</w:t>
      </w:r>
      <w:r w:rsidR="00A311BF">
        <w:rPr>
          <w:rFonts w:ascii="Times New Roman" w:hAnsi="Times New Roman" w:cs="Times New Roman"/>
          <w:b/>
          <w:bCs/>
        </w:rPr>
        <w:t>.</w:t>
      </w:r>
    </w:p>
    <w:p w14:paraId="77F27D8A" w14:textId="77777777" w:rsidR="0047742E" w:rsidRPr="005461D7" w:rsidRDefault="0047742E" w:rsidP="0047742E"/>
    <w:p w14:paraId="2CC71A09" w14:textId="6642221F" w:rsidR="0047742E" w:rsidRDefault="0047742E" w:rsidP="006C4C9A">
      <w:pPr>
        <w:ind w:firstLine="720"/>
      </w:pPr>
      <w:r>
        <w:t xml:space="preserve">The purpose, </w:t>
      </w:r>
      <w:proofErr w:type="gramStart"/>
      <w:r>
        <w:t>objectives</w:t>
      </w:r>
      <w:proofErr w:type="gramEnd"/>
      <w:r>
        <w:t xml:space="preserve"> and functions of the CFPB</w:t>
      </w:r>
      <w:r>
        <w:rPr>
          <w:rStyle w:val="FootnoteReference"/>
        </w:rPr>
        <w:footnoteReference w:id="14"/>
      </w:r>
      <w:r>
        <w:t xml:space="preserve"> and the specific authorities</w:t>
      </w:r>
      <w:r>
        <w:rPr>
          <w:rStyle w:val="FootnoteReference"/>
        </w:rPr>
        <w:footnoteReference w:id="15"/>
      </w:r>
      <w:r>
        <w:t xml:space="preserve"> of the CFPB as set forth in federal law do not provide a clear basis for the CFPB to set the amounts of fees charged in the consumer financial services market. Further, Congress explicitly prohibited the CFPB from setting a usury limit,</w:t>
      </w:r>
      <w:r>
        <w:rPr>
          <w:rStyle w:val="FootnoteReference"/>
        </w:rPr>
        <w:footnoteReference w:id="16"/>
      </w:r>
      <w:r>
        <w:t xml:space="preserve"> thus suggesting the CFPB should have no role in setting prices in consumer financial services markets. </w:t>
      </w:r>
    </w:p>
    <w:p w14:paraId="6D3E8B55" w14:textId="77777777" w:rsidR="0047742E" w:rsidRDefault="0047742E" w:rsidP="0047742E"/>
    <w:p w14:paraId="13742156" w14:textId="0B62F1AB" w:rsidR="0047742E" w:rsidRDefault="0047742E" w:rsidP="006C4C9A">
      <w:pPr>
        <w:ind w:firstLine="720"/>
      </w:pPr>
      <w:r>
        <w:t>The CFPB has some authority to use its rulemaking authority to impose substantive disclosure requirements in connection with consumer financial services and products.</w:t>
      </w:r>
      <w:r>
        <w:rPr>
          <w:rStyle w:val="FootnoteReference"/>
        </w:rPr>
        <w:footnoteReference w:id="17"/>
      </w:r>
      <w:r>
        <w:t xml:space="preserve"> </w:t>
      </w:r>
      <w:bookmarkStart w:id="1" w:name="_Hlk97641777"/>
      <w:r>
        <w:t xml:space="preserve">However, in the RFI, the CFPB ignored numerous instances of existing federal disclosure </w:t>
      </w:r>
      <w:r>
        <w:lastRenderedPageBreak/>
        <w:t xml:space="preserve">requirements relating to fees charged in consumer financial service transactions. For example, </w:t>
      </w:r>
      <w:r w:rsidRPr="00CC1EEB">
        <w:t>Regulation Z requires disclosure</w:t>
      </w:r>
      <w:r>
        <w:t xml:space="preserve"> of late fees in connection with an application</w:t>
      </w:r>
      <w:r w:rsidRPr="00CC1EEB">
        <w:t xml:space="preserve"> for a credit card account</w:t>
      </w:r>
      <w:r>
        <w:t>;</w:t>
      </w:r>
      <w:r>
        <w:rPr>
          <w:rStyle w:val="FootnoteReference"/>
        </w:rPr>
        <w:footnoteReference w:id="18"/>
      </w:r>
      <w:r>
        <w:t xml:space="preserve"> </w:t>
      </w:r>
      <w:r w:rsidRPr="00CC1EEB">
        <w:t>Regulation DD requires disclosure</w:t>
      </w:r>
      <w:r>
        <w:t xml:space="preserve">, upon request, of overdraft and NSF fees in connection with the opening of </w:t>
      </w:r>
      <w:r w:rsidRPr="00CC1EEB">
        <w:t>a deposit account</w:t>
      </w:r>
      <w:r>
        <w:t>;</w:t>
      </w:r>
      <w:r>
        <w:rPr>
          <w:rStyle w:val="FootnoteReference"/>
        </w:rPr>
        <w:footnoteReference w:id="19"/>
      </w:r>
      <w:r>
        <w:t xml:space="preserve"> and </w:t>
      </w:r>
      <w:r w:rsidRPr="00CC1EEB">
        <w:t>Regulation E requires disclosure</w:t>
      </w:r>
      <w:r>
        <w:t xml:space="preserve"> of certain fees in connection with prepaid accounts.</w:t>
      </w:r>
      <w:r>
        <w:rPr>
          <w:rStyle w:val="FootnoteReference"/>
        </w:rPr>
        <w:footnoteReference w:id="20"/>
      </w:r>
      <w:r>
        <w:t xml:space="preserve"> </w:t>
      </w:r>
      <w:bookmarkEnd w:id="1"/>
    </w:p>
    <w:p w14:paraId="692F919E" w14:textId="77777777" w:rsidR="0047742E" w:rsidRDefault="0047742E" w:rsidP="0047742E"/>
    <w:p w14:paraId="60F24F23" w14:textId="2D1C36F2" w:rsidR="0047742E" w:rsidRPr="00CC1EEB" w:rsidRDefault="0047742E" w:rsidP="006C4C9A">
      <w:pPr>
        <w:ind w:firstLine="720"/>
      </w:pPr>
      <w:r>
        <w:t>The CFPB in the RFI also specifically expressed concern with the cost of title insurance in mortgage transactions. Like many other insurance products, title insurance is regulated by many states and the CFPB is specifically prohibited from regulating the business of insurance.</w:t>
      </w:r>
      <w:r>
        <w:rPr>
          <w:rStyle w:val="FootnoteReference"/>
        </w:rPr>
        <w:footnoteReference w:id="21"/>
      </w:r>
    </w:p>
    <w:p w14:paraId="4AD2CB67" w14:textId="77777777" w:rsidR="0047742E" w:rsidRPr="007024F2" w:rsidRDefault="0047742E" w:rsidP="0047742E">
      <w:pPr>
        <w:ind w:left="360"/>
      </w:pPr>
    </w:p>
    <w:p w14:paraId="13D21885" w14:textId="040067E9" w:rsidR="0047742E" w:rsidRDefault="0047742E" w:rsidP="006C4C9A">
      <w:pPr>
        <w:ind w:firstLine="720"/>
      </w:pPr>
      <w:r>
        <w:t xml:space="preserve">The CFPB may seek to use its authority to prohibit unfair, </w:t>
      </w:r>
      <w:proofErr w:type="gramStart"/>
      <w:r>
        <w:t>deceptive</w:t>
      </w:r>
      <w:proofErr w:type="gramEnd"/>
      <w:r>
        <w:t xml:space="preserve"> or abusive acts or practices</w:t>
      </w:r>
      <w:r>
        <w:rPr>
          <w:rStyle w:val="FootnoteReference"/>
        </w:rPr>
        <w:footnoteReference w:id="22"/>
      </w:r>
      <w:r>
        <w:t xml:space="preserve"> to regulate fees. It is unclear, however, that fees disclosed in accordance with state or federal law, in some cases authorized by state law, and agreed to by a consumer in writing constitute “unfair, deceptive or abusive” fees, notwithstanding the CFPB’s characterization of some fees as “not meaningfully avoidable or negotiable” at the time they are assessed. </w:t>
      </w:r>
    </w:p>
    <w:p w14:paraId="7E036195" w14:textId="77777777" w:rsidR="0047742E" w:rsidRDefault="0047742E" w:rsidP="0047742E"/>
    <w:p w14:paraId="62C384F7" w14:textId="77777777" w:rsidR="0047742E" w:rsidRPr="00CC1EEB" w:rsidRDefault="0047742E" w:rsidP="0047742E">
      <w:pPr>
        <w:jc w:val="center"/>
      </w:pPr>
      <w:r>
        <w:t>***</w:t>
      </w:r>
    </w:p>
    <w:p w14:paraId="47BBE965" w14:textId="77777777" w:rsidR="0047742E" w:rsidRDefault="0047742E" w:rsidP="0047742E"/>
    <w:p w14:paraId="6C630F6B" w14:textId="5FE728B7" w:rsidR="009D7381" w:rsidRDefault="0047742E" w:rsidP="000958C1">
      <w:pPr>
        <w:ind w:firstLine="720"/>
      </w:pPr>
      <w:r>
        <w:t xml:space="preserve">We strongly encourage the CFPB to abandon its apparent determination to adopt an uncooperative posture on this topic. Instead, the CFPB should coordinate and cooperate with state authorities to understand the scope and significance of existing state laws and regulations and to determine where federal action is duplicative or unwarranted. Also, the CFPB should adopt an approach which recognizes the limits on its statutory authority as well as existing federal disclosure requirements. Otherwise, the CFPB risks acting in a manner which may require an unfounded expansion of its authority and may result in the adoption of a top-down approach which may infringe on state law and may fail to respect the diverse needs of the citizens of many states. </w:t>
      </w:r>
    </w:p>
    <w:p w14:paraId="4211F056" w14:textId="77777777" w:rsidR="000958C1" w:rsidRDefault="000958C1" w:rsidP="000958C1">
      <w:pPr>
        <w:ind w:firstLine="720"/>
      </w:pPr>
    </w:p>
    <w:bookmarkEnd w:id="0"/>
    <w:p w14:paraId="5CA16099" w14:textId="7CCDDF4F" w:rsidR="003A1B2D" w:rsidRPr="00682BD6" w:rsidRDefault="00865D0D" w:rsidP="00FD22C4">
      <w:pPr>
        <w:spacing w:after="240"/>
        <w:ind w:firstLine="720"/>
      </w:pPr>
      <w:r w:rsidRPr="00682BD6">
        <w:t>Thank you for the opportunity to provide comments. If you have any questions, please contact the Office of the Utah Attorney General.</w:t>
      </w:r>
    </w:p>
    <w:p w14:paraId="418B6455" w14:textId="77777777" w:rsidR="000958C1" w:rsidRDefault="000958C1" w:rsidP="00865D0D"/>
    <w:p w14:paraId="3A176069" w14:textId="12577E0D" w:rsidR="00865D0D" w:rsidRDefault="00865D0D" w:rsidP="00865D0D">
      <w:r w:rsidRPr="00682BD6">
        <w:t>Respectfully submitted,</w:t>
      </w:r>
    </w:p>
    <w:tbl>
      <w:tblPr>
        <w:tblStyle w:val="TableGrid"/>
        <w:tblpPr w:leftFromText="180" w:rightFromText="180" w:vertAnchor="text" w:horzAnchor="margin"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3114"/>
        <w:gridCol w:w="2623"/>
      </w:tblGrid>
      <w:tr w:rsidR="000958C1" w:rsidRPr="00834E9E" w14:paraId="56A84767" w14:textId="77777777" w:rsidTr="000958C1">
        <w:tc>
          <w:tcPr>
            <w:tcW w:w="3546" w:type="dxa"/>
          </w:tcPr>
          <w:p w14:paraId="4CF5A4E0" w14:textId="77777777" w:rsidR="000958C1" w:rsidRPr="00834E9E" w:rsidRDefault="000958C1" w:rsidP="000958C1">
            <w:r w:rsidRPr="00834E9E">
              <w:rPr>
                <w:noProof/>
              </w:rPr>
              <w:drawing>
                <wp:anchor distT="0" distB="0" distL="114300" distR="114300" simplePos="0" relativeHeight="251659264" behindDoc="1" locked="0" layoutInCell="1" allowOverlap="1" wp14:anchorId="4ADB6D7B" wp14:editId="5F03DEE6">
                  <wp:simplePos x="0" y="0"/>
                  <wp:positionH relativeFrom="column">
                    <wp:posOffset>0</wp:posOffset>
                  </wp:positionH>
                  <wp:positionV relativeFrom="paragraph">
                    <wp:posOffset>0</wp:posOffset>
                  </wp:positionV>
                  <wp:extent cx="1684020" cy="718820"/>
                  <wp:effectExtent l="0" t="0" r="0" b="5080"/>
                  <wp:wrapNone/>
                  <wp:docPr id="9" name="Picture 9" descr="A close-up of some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glasse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5482" cy="7279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2F8ED" w14:textId="77777777" w:rsidR="000958C1" w:rsidRPr="00834E9E" w:rsidRDefault="000958C1" w:rsidP="000958C1"/>
          <w:p w14:paraId="00D43D85" w14:textId="77777777" w:rsidR="000958C1" w:rsidRPr="00834E9E" w:rsidRDefault="000958C1" w:rsidP="000958C1"/>
          <w:p w14:paraId="6948CB3D" w14:textId="77777777" w:rsidR="000958C1" w:rsidRPr="00834E9E" w:rsidRDefault="000958C1" w:rsidP="000958C1"/>
          <w:p w14:paraId="28A9DEA5" w14:textId="77777777" w:rsidR="000958C1" w:rsidRPr="00834E9E" w:rsidRDefault="000958C1" w:rsidP="000958C1">
            <w:r w:rsidRPr="00834E9E">
              <w:t>Sean D. Reyes</w:t>
            </w:r>
          </w:p>
          <w:p w14:paraId="17CF2C12" w14:textId="77777777" w:rsidR="000958C1" w:rsidRPr="00834E9E" w:rsidRDefault="000958C1" w:rsidP="000958C1">
            <w:r w:rsidRPr="00834E9E">
              <w:t>Utah Attorney General</w:t>
            </w:r>
          </w:p>
        </w:tc>
        <w:tc>
          <w:tcPr>
            <w:tcW w:w="3114" w:type="dxa"/>
          </w:tcPr>
          <w:p w14:paraId="01DA7700" w14:textId="77777777" w:rsidR="000958C1" w:rsidRPr="00834E9E" w:rsidRDefault="000958C1" w:rsidP="000958C1"/>
        </w:tc>
        <w:tc>
          <w:tcPr>
            <w:tcW w:w="2623" w:type="dxa"/>
          </w:tcPr>
          <w:p w14:paraId="3513E0EA" w14:textId="77777777" w:rsidR="000958C1" w:rsidRPr="00834E9E" w:rsidRDefault="000958C1" w:rsidP="000958C1">
            <w:pPr>
              <w:rPr>
                <w:noProof/>
              </w:rPr>
            </w:pPr>
          </w:p>
        </w:tc>
      </w:tr>
      <w:tr w:rsidR="000958C1" w:rsidRPr="00834E9E" w14:paraId="2F6B8509" w14:textId="77777777" w:rsidTr="000958C1">
        <w:tc>
          <w:tcPr>
            <w:tcW w:w="3546" w:type="dxa"/>
          </w:tcPr>
          <w:p w14:paraId="10C81576" w14:textId="77777777" w:rsidR="000958C1" w:rsidRPr="00834E9E" w:rsidRDefault="000958C1" w:rsidP="000958C1">
            <w:pPr>
              <w:rPr>
                <w:noProof/>
              </w:rPr>
            </w:pPr>
          </w:p>
        </w:tc>
        <w:tc>
          <w:tcPr>
            <w:tcW w:w="3114" w:type="dxa"/>
          </w:tcPr>
          <w:p w14:paraId="66EBF794" w14:textId="77777777" w:rsidR="000958C1" w:rsidRPr="00834E9E" w:rsidRDefault="000958C1" w:rsidP="000958C1">
            <w:pPr>
              <w:rPr>
                <w:noProof/>
              </w:rPr>
            </w:pPr>
          </w:p>
          <w:p w14:paraId="0585CCF3" w14:textId="77777777" w:rsidR="000958C1" w:rsidRPr="00834E9E" w:rsidRDefault="000958C1" w:rsidP="000958C1">
            <w:pPr>
              <w:rPr>
                <w:noProof/>
              </w:rPr>
            </w:pPr>
          </w:p>
          <w:p w14:paraId="79143421" w14:textId="77777777" w:rsidR="000958C1" w:rsidRPr="00834E9E" w:rsidRDefault="000958C1" w:rsidP="000958C1">
            <w:pPr>
              <w:rPr>
                <w:noProof/>
              </w:rPr>
            </w:pPr>
          </w:p>
          <w:p w14:paraId="1720DC7D" w14:textId="77777777" w:rsidR="000958C1" w:rsidRPr="00834E9E" w:rsidRDefault="000958C1" w:rsidP="000958C1">
            <w:pPr>
              <w:rPr>
                <w:noProof/>
              </w:rPr>
            </w:pPr>
          </w:p>
        </w:tc>
        <w:tc>
          <w:tcPr>
            <w:tcW w:w="2623" w:type="dxa"/>
          </w:tcPr>
          <w:p w14:paraId="62B75CAF" w14:textId="77777777" w:rsidR="000958C1" w:rsidRPr="00834E9E" w:rsidRDefault="000958C1" w:rsidP="000958C1">
            <w:pPr>
              <w:rPr>
                <w:noProof/>
              </w:rPr>
            </w:pPr>
          </w:p>
        </w:tc>
      </w:tr>
    </w:tbl>
    <w:p w14:paraId="460ABCEB" w14:textId="77777777" w:rsidR="00B85D7E" w:rsidRPr="00682BD6" w:rsidRDefault="00B85D7E" w:rsidP="00B85D7E"/>
    <w:p w14:paraId="47F33F92" w14:textId="77777777" w:rsidR="00865D0D" w:rsidRPr="00682BD6" w:rsidRDefault="00865D0D" w:rsidP="006C4C9A">
      <w:pPr>
        <w:jc w:val="both"/>
      </w:pPr>
    </w:p>
    <w:sectPr w:rsidR="00865D0D" w:rsidRPr="00682BD6" w:rsidSect="00406153">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1F9D" w14:textId="77777777" w:rsidR="00AA3938" w:rsidRDefault="00AA3938" w:rsidP="003F245A">
      <w:r>
        <w:separator/>
      </w:r>
    </w:p>
  </w:endnote>
  <w:endnote w:type="continuationSeparator" w:id="0">
    <w:p w14:paraId="15F876D1" w14:textId="77777777" w:rsidR="00AA3938" w:rsidRDefault="00AA3938" w:rsidP="003F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549230"/>
      <w:docPartObj>
        <w:docPartGallery w:val="Page Numbers (Bottom of Page)"/>
        <w:docPartUnique/>
      </w:docPartObj>
    </w:sdtPr>
    <w:sdtEndPr>
      <w:rPr>
        <w:rStyle w:val="PageNumber"/>
      </w:rPr>
    </w:sdtEndPr>
    <w:sdtContent>
      <w:p w14:paraId="76EFBD34" w14:textId="6CE8FE6D" w:rsidR="00406153" w:rsidRDefault="00406153" w:rsidP="00177B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C1788" w14:textId="77777777" w:rsidR="00406153" w:rsidRDefault="00406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597376027"/>
      <w:docPartObj>
        <w:docPartGallery w:val="Page Numbers (Bottom of Page)"/>
        <w:docPartUnique/>
      </w:docPartObj>
    </w:sdtPr>
    <w:sdtEndPr>
      <w:rPr>
        <w:rStyle w:val="PageNumber"/>
      </w:rPr>
    </w:sdtEndPr>
    <w:sdtContent>
      <w:p w14:paraId="14EFEF52" w14:textId="2DD907F4" w:rsidR="00177B38" w:rsidRPr="00177B38" w:rsidRDefault="00177B38" w:rsidP="00BE6D19">
        <w:pPr>
          <w:pStyle w:val="Footer"/>
          <w:framePr w:wrap="none" w:vAnchor="text" w:hAnchor="margin" w:xAlign="center" w:y="1"/>
          <w:rPr>
            <w:rStyle w:val="PageNumber"/>
            <w:rFonts w:ascii="Times New Roman" w:hAnsi="Times New Roman" w:cs="Times New Roman"/>
          </w:rPr>
        </w:pPr>
        <w:r w:rsidRPr="00177B38">
          <w:rPr>
            <w:rStyle w:val="PageNumber"/>
            <w:rFonts w:ascii="Times New Roman" w:hAnsi="Times New Roman" w:cs="Times New Roman"/>
          </w:rPr>
          <w:fldChar w:fldCharType="begin"/>
        </w:r>
        <w:r w:rsidRPr="00177B38">
          <w:rPr>
            <w:rStyle w:val="PageNumber"/>
            <w:rFonts w:ascii="Times New Roman" w:hAnsi="Times New Roman" w:cs="Times New Roman"/>
          </w:rPr>
          <w:instrText xml:space="preserve"> PAGE </w:instrText>
        </w:r>
        <w:r w:rsidRPr="00177B38">
          <w:rPr>
            <w:rStyle w:val="PageNumber"/>
            <w:rFonts w:ascii="Times New Roman" w:hAnsi="Times New Roman" w:cs="Times New Roman"/>
          </w:rPr>
          <w:fldChar w:fldCharType="separate"/>
        </w:r>
        <w:r w:rsidR="0090675F">
          <w:rPr>
            <w:rStyle w:val="PageNumber"/>
            <w:rFonts w:ascii="Times New Roman" w:hAnsi="Times New Roman" w:cs="Times New Roman"/>
            <w:noProof/>
          </w:rPr>
          <w:t>6</w:t>
        </w:r>
        <w:r w:rsidRPr="00177B38">
          <w:rPr>
            <w:rStyle w:val="PageNumber"/>
            <w:rFonts w:ascii="Times New Roman" w:hAnsi="Times New Roman" w:cs="Times New Roman"/>
          </w:rPr>
          <w:fldChar w:fldCharType="end"/>
        </w:r>
      </w:p>
    </w:sdtContent>
  </w:sdt>
  <w:p w14:paraId="1480812D" w14:textId="36CA0E7D" w:rsidR="00B10815" w:rsidRDefault="00B10815">
    <w:pPr>
      <w:pStyle w:val="Footer"/>
      <w:jc w:val="center"/>
    </w:pPr>
  </w:p>
  <w:p w14:paraId="63C122C5" w14:textId="77777777" w:rsidR="00406153" w:rsidRPr="00406153" w:rsidRDefault="00406153">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6317" w14:textId="77777777" w:rsidR="00AA3938" w:rsidRDefault="00AA3938" w:rsidP="003F245A">
      <w:r>
        <w:separator/>
      </w:r>
    </w:p>
  </w:footnote>
  <w:footnote w:type="continuationSeparator" w:id="0">
    <w:p w14:paraId="25200E78" w14:textId="77777777" w:rsidR="00AA3938" w:rsidRDefault="00AA3938" w:rsidP="003F245A">
      <w:r>
        <w:continuationSeparator/>
      </w:r>
    </w:p>
  </w:footnote>
  <w:footnote w:id="1">
    <w:p w14:paraId="1E9D60C2" w14:textId="77777777"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87 Fed. Reg. 5801 (Feb. 2, 2022).</w:t>
      </w:r>
    </w:p>
  </w:footnote>
  <w:footnote w:id="2">
    <w:p w14:paraId="1695C294" w14:textId="77777777" w:rsidR="0047742E" w:rsidRDefault="0047742E" w:rsidP="0047742E">
      <w:pPr>
        <w:pStyle w:val="FootnoteText"/>
      </w:pPr>
      <w:r w:rsidRPr="006C4C9A">
        <w:rPr>
          <w:rStyle w:val="FootnoteReference"/>
          <w:rFonts w:ascii="Times New Roman" w:hAnsi="Times New Roman" w:cs="Times New Roman"/>
        </w:rPr>
        <w:footnoteRef/>
      </w:r>
      <w:r w:rsidRPr="006C4C9A">
        <w:rPr>
          <w:rFonts w:ascii="Times New Roman" w:hAnsi="Times New Roman" w:cs="Times New Roman"/>
        </w:rPr>
        <w:t xml:space="preserve"> 12 U.S.C. § 5511(a).</w:t>
      </w:r>
      <w:r>
        <w:t xml:space="preserve">  </w:t>
      </w:r>
    </w:p>
  </w:footnote>
  <w:footnote w:id="3">
    <w:p w14:paraId="7D1E7D60" w14:textId="5484C33C" w:rsidR="00F669DF" w:rsidRPr="00BA69FD" w:rsidRDefault="00F669DF">
      <w:pPr>
        <w:pStyle w:val="FootnoteText"/>
        <w:rPr>
          <w:rFonts w:ascii="Times New Roman" w:hAnsi="Times New Roman" w:cs="Times New Roman"/>
        </w:rPr>
      </w:pPr>
      <w:r w:rsidRPr="00BA69FD">
        <w:rPr>
          <w:rStyle w:val="FootnoteReference"/>
          <w:rFonts w:ascii="Times New Roman" w:hAnsi="Times New Roman" w:cs="Times New Roman"/>
        </w:rPr>
        <w:footnoteRef/>
      </w:r>
      <w:r w:rsidRPr="00BA69FD">
        <w:rPr>
          <w:rFonts w:ascii="Times New Roman" w:hAnsi="Times New Roman" w:cs="Times New Roman"/>
        </w:rPr>
        <w:t xml:space="preserve"> </w:t>
      </w:r>
      <w:r w:rsidRPr="00BA69FD">
        <w:rPr>
          <w:rFonts w:ascii="Times New Roman" w:hAnsi="Times New Roman" w:cs="Times New Roman"/>
        </w:rPr>
        <w:t>87 Fed. Reg. 5801</w:t>
      </w:r>
      <w:r w:rsidRPr="00BA69FD">
        <w:rPr>
          <w:rFonts w:ascii="Times New Roman" w:hAnsi="Times New Roman" w:cs="Times New Roman"/>
        </w:rPr>
        <w:t>, 5802</w:t>
      </w:r>
      <w:r w:rsidRPr="00BA69FD">
        <w:rPr>
          <w:rFonts w:ascii="Times New Roman" w:hAnsi="Times New Roman" w:cs="Times New Roman"/>
        </w:rPr>
        <w:t xml:space="preserve"> (Feb. 2, 2022)</w:t>
      </w:r>
      <w:r w:rsidRPr="00BA69FD">
        <w:rPr>
          <w:rFonts w:ascii="Times New Roman" w:hAnsi="Times New Roman" w:cs="Times New Roman"/>
        </w:rPr>
        <w:t>.</w:t>
      </w:r>
    </w:p>
  </w:footnote>
  <w:footnote w:id="4">
    <w:p w14:paraId="1806C9B6" w14:textId="4647B400" w:rsidR="007C55BB" w:rsidRPr="001604B0" w:rsidRDefault="007C55BB">
      <w:pPr>
        <w:pStyle w:val="FootnoteText"/>
        <w:rPr>
          <w:rFonts w:ascii="Times New Roman" w:hAnsi="Times New Roman" w:cs="Times New Roman"/>
        </w:rPr>
      </w:pPr>
      <w:r w:rsidRPr="00BA69FD">
        <w:rPr>
          <w:rStyle w:val="FootnoteReference"/>
          <w:rFonts w:ascii="Times New Roman" w:hAnsi="Times New Roman" w:cs="Times New Roman"/>
        </w:rPr>
        <w:footnoteRef/>
      </w:r>
      <w:r w:rsidRPr="00BA69FD">
        <w:rPr>
          <w:rFonts w:ascii="Times New Roman" w:hAnsi="Times New Roman" w:cs="Times New Roman"/>
        </w:rPr>
        <w:t xml:space="preserve"> </w:t>
      </w:r>
      <w:r w:rsidR="00BA69FD" w:rsidRPr="00BA69FD">
        <w:rPr>
          <w:rFonts w:ascii="Times New Roman" w:hAnsi="Times New Roman" w:cs="Times New Roman"/>
          <w:i/>
          <w:iCs/>
        </w:rPr>
        <w:t>Id</w:t>
      </w:r>
      <w:r w:rsidR="00BA69FD">
        <w:rPr>
          <w:i/>
          <w:iCs/>
        </w:rPr>
        <w:t>.</w:t>
      </w:r>
      <w:r w:rsidR="00BA69FD">
        <w:t xml:space="preserve"> </w:t>
      </w:r>
    </w:p>
  </w:footnote>
  <w:footnote w:id="5">
    <w:p w14:paraId="7AD9FD49" w14:textId="7D8708C7" w:rsidR="009717BE" w:rsidRPr="001604B0" w:rsidRDefault="009717BE">
      <w:pPr>
        <w:pStyle w:val="FootnoteText"/>
        <w:rPr>
          <w:rFonts w:ascii="Times New Roman" w:hAnsi="Times New Roman" w:cs="Times New Roman"/>
          <w:i/>
          <w:iCs/>
        </w:rPr>
      </w:pPr>
      <w:r w:rsidRPr="001604B0">
        <w:rPr>
          <w:rStyle w:val="FootnoteReference"/>
          <w:rFonts w:ascii="Times New Roman" w:hAnsi="Times New Roman" w:cs="Times New Roman"/>
        </w:rPr>
        <w:footnoteRef/>
      </w:r>
      <w:r w:rsidRPr="001604B0">
        <w:rPr>
          <w:rFonts w:ascii="Times New Roman" w:hAnsi="Times New Roman" w:cs="Times New Roman"/>
        </w:rPr>
        <w:t xml:space="preserve"> </w:t>
      </w:r>
      <w:r w:rsidRPr="001604B0">
        <w:rPr>
          <w:rFonts w:ascii="Times New Roman" w:hAnsi="Times New Roman" w:cs="Times New Roman"/>
          <w:i/>
          <w:iCs/>
        </w:rPr>
        <w:t>See</w:t>
      </w:r>
      <w:r w:rsidR="007471F8" w:rsidRPr="001604B0">
        <w:rPr>
          <w:rFonts w:ascii="Times New Roman" w:hAnsi="Times New Roman" w:cs="Times New Roman"/>
          <w:i/>
          <w:iCs/>
        </w:rPr>
        <w:t xml:space="preserve"> </w:t>
      </w:r>
      <w:r w:rsidR="007471F8" w:rsidRPr="001604B0">
        <w:rPr>
          <w:rFonts w:ascii="Times New Roman" w:hAnsi="Times New Roman" w:cs="Times New Roman"/>
        </w:rPr>
        <w:t xml:space="preserve">Howard Beales &amp; Todd </w:t>
      </w:r>
      <w:proofErr w:type="spellStart"/>
      <w:r w:rsidR="007471F8" w:rsidRPr="001604B0">
        <w:rPr>
          <w:rFonts w:ascii="Times New Roman" w:hAnsi="Times New Roman" w:cs="Times New Roman"/>
        </w:rPr>
        <w:t>Z</w:t>
      </w:r>
      <w:r w:rsidR="00BC4046" w:rsidRPr="001604B0">
        <w:rPr>
          <w:rFonts w:ascii="Times New Roman" w:hAnsi="Times New Roman" w:cs="Times New Roman"/>
        </w:rPr>
        <w:t>yzicki</w:t>
      </w:r>
      <w:proofErr w:type="spellEnd"/>
      <w:r w:rsidR="00E36DBC" w:rsidRPr="001604B0">
        <w:rPr>
          <w:rFonts w:ascii="Times New Roman" w:hAnsi="Times New Roman" w:cs="Times New Roman"/>
        </w:rPr>
        <w:t xml:space="preserve">, </w:t>
      </w:r>
      <w:r w:rsidR="00E36DBC" w:rsidRPr="001604B0">
        <w:rPr>
          <w:rFonts w:ascii="Times New Roman" w:hAnsi="Times New Roman" w:cs="Times New Roman"/>
          <w:i/>
          <w:iCs/>
        </w:rPr>
        <w:t xml:space="preserve">Junk fees or junk </w:t>
      </w:r>
      <w:proofErr w:type="gramStart"/>
      <w:r w:rsidR="00E36DBC" w:rsidRPr="001604B0">
        <w:rPr>
          <w:rFonts w:ascii="Times New Roman" w:hAnsi="Times New Roman" w:cs="Times New Roman"/>
          <w:i/>
          <w:iCs/>
        </w:rPr>
        <w:t>policy?,</w:t>
      </w:r>
      <w:proofErr w:type="gramEnd"/>
      <w:r w:rsidR="00E36DBC" w:rsidRPr="001604B0">
        <w:rPr>
          <w:rFonts w:ascii="Times New Roman" w:hAnsi="Times New Roman" w:cs="Times New Roman"/>
        </w:rPr>
        <w:t xml:space="preserve"> TheHill.com (March 21, 2022), </w:t>
      </w:r>
      <w:r w:rsidR="00E36DBC" w:rsidRPr="001604B0">
        <w:rPr>
          <w:rFonts w:ascii="Times New Roman" w:hAnsi="Times New Roman" w:cs="Times New Roman"/>
        </w:rPr>
        <w:t>https://thehill.com/blogs/congress-blog/politics/599085-junk-fees-or-junk-policy?fbclid=IwAR0HeLrnsc5GrGjHpHy74rz5PYLzVXx29dgOSnqi66mMhsdq1kOjkiU1qWc</w:t>
      </w:r>
      <w:r w:rsidR="001604B0" w:rsidRPr="001604B0">
        <w:rPr>
          <w:rFonts w:ascii="Times New Roman" w:hAnsi="Times New Roman" w:cs="Times New Roman"/>
        </w:rPr>
        <w:t>.</w:t>
      </w:r>
      <w:r w:rsidRPr="001604B0">
        <w:rPr>
          <w:rFonts w:ascii="Times New Roman" w:hAnsi="Times New Roman" w:cs="Times New Roman"/>
          <w:i/>
          <w:iCs/>
        </w:rPr>
        <w:t xml:space="preserve"> </w:t>
      </w:r>
    </w:p>
  </w:footnote>
  <w:footnote w:id="6">
    <w:p w14:paraId="0A5661EA" w14:textId="77777777"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Utah Code § 70C-2-102(1); Ala. Code § 5-19-4(a), Idaho Code § 28-42-301(1) &amp; (3).</w:t>
      </w:r>
    </w:p>
  </w:footnote>
  <w:footnote w:id="7">
    <w:p w14:paraId="2EF6FFB0" w14:textId="77777777"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Utah Code § 7-15-1(2)(b); Mont. Code Ann. § 27-1-717, Tenn. Code Ann. § 47-29-102.</w:t>
      </w:r>
    </w:p>
  </w:footnote>
  <w:footnote w:id="8">
    <w:p w14:paraId="54BBC6D2"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14A Okla. Stat. § 2-202(1)(d).</w:t>
      </w:r>
    </w:p>
  </w:footnote>
  <w:footnote w:id="9">
    <w:p w14:paraId="42C755DC"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Tx. Fin. Code §342.308(a)(9).</w:t>
      </w:r>
    </w:p>
  </w:footnote>
  <w:footnote w:id="10">
    <w:p w14:paraId="74359E27"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w:t>
      </w:r>
      <w:hyperlink r:id="rId1" w:history="1">
        <w:r w:rsidRPr="00192720">
          <w:rPr>
            <w:rFonts w:ascii="Times New Roman" w:hAnsi="Times New Roman" w:cs="Times New Roman"/>
            <w:shd w:val="clear" w:color="auto" w:fill="FFFFFF"/>
          </w:rPr>
          <w:t>Conn. Gen. Stat. § 36a-784</w:t>
        </w:r>
      </w:hyperlink>
      <w:r w:rsidRPr="00192720">
        <w:rPr>
          <w:rFonts w:ascii="Times New Roman" w:hAnsi="Times New Roman" w:cs="Times New Roman"/>
        </w:rPr>
        <w:t>.</w:t>
      </w:r>
    </w:p>
  </w:footnote>
  <w:footnote w:id="11">
    <w:p w14:paraId="48013813" w14:textId="77777777" w:rsidR="0047742E" w:rsidRPr="00192720" w:rsidRDefault="0047742E" w:rsidP="0047742E">
      <w:pPr>
        <w:pStyle w:val="NormalWeb"/>
        <w:shd w:val="clear" w:color="auto" w:fill="FFFFFF"/>
        <w:spacing w:before="0" w:beforeAutospacing="0" w:after="0" w:afterAutospacing="0"/>
        <w:rPr>
          <w:sz w:val="20"/>
          <w:szCs w:val="20"/>
        </w:rPr>
      </w:pPr>
      <w:r w:rsidRPr="00192720">
        <w:rPr>
          <w:rStyle w:val="FootnoteReference"/>
          <w:sz w:val="20"/>
          <w:szCs w:val="20"/>
        </w:rPr>
        <w:footnoteRef/>
      </w:r>
      <w:r w:rsidRPr="00192720">
        <w:rPr>
          <w:sz w:val="20"/>
          <w:szCs w:val="20"/>
        </w:rPr>
        <w:t xml:space="preserve"> </w:t>
      </w:r>
      <w:hyperlink r:id="rId2" w:history="1">
        <w:r w:rsidRPr="00192720">
          <w:rPr>
            <w:rStyle w:val="Hyperlink"/>
            <w:color w:val="auto"/>
            <w:sz w:val="20"/>
            <w:szCs w:val="20"/>
            <w:u w:val="none"/>
          </w:rPr>
          <w:t>Alaska Stat. § 45.10.220</w:t>
        </w:r>
      </w:hyperlink>
      <w:r w:rsidRPr="00192720">
        <w:rPr>
          <w:sz w:val="20"/>
          <w:szCs w:val="20"/>
        </w:rPr>
        <w:t>(5), Fla. Stat. Ann. § 520.07(3), Fla. Stat. Ann. § 520.02(13).</w:t>
      </w:r>
    </w:p>
  </w:footnote>
  <w:footnote w:id="12">
    <w:p w14:paraId="71D11F1F"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Colo. Rev. Stat. § 5-2-203(4)(a).</w:t>
      </w:r>
    </w:p>
  </w:footnote>
  <w:footnote w:id="13">
    <w:p w14:paraId="7EA3C984"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w:t>
      </w:r>
      <w:r w:rsidRPr="00192720">
        <w:rPr>
          <w:rFonts w:ascii="Times New Roman" w:hAnsi="Times New Roman" w:cs="Times New Roman"/>
          <w:i/>
          <w:iCs/>
        </w:rPr>
        <w:t xml:space="preserve">See, e.g., </w:t>
      </w:r>
      <w:r w:rsidRPr="00192720">
        <w:rPr>
          <w:rFonts w:ascii="Times New Roman" w:hAnsi="Times New Roman" w:cs="Times New Roman"/>
        </w:rPr>
        <w:t>Kan. Stat. § 50-626(a), -627.</w:t>
      </w:r>
    </w:p>
  </w:footnote>
  <w:footnote w:id="14">
    <w:p w14:paraId="6C76C476"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12 U.S.C. § 5511. </w:t>
      </w:r>
    </w:p>
  </w:footnote>
  <w:footnote w:id="15">
    <w:p w14:paraId="235BD848"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12 U.S.C. § 5531, et seq.</w:t>
      </w:r>
    </w:p>
  </w:footnote>
  <w:footnote w:id="16">
    <w:p w14:paraId="15850DE9"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12 U.S.C. § 5517(o).</w:t>
      </w:r>
    </w:p>
  </w:footnote>
  <w:footnote w:id="17">
    <w:p w14:paraId="2C736FA0" w14:textId="77777777" w:rsidR="0047742E" w:rsidRPr="00192720" w:rsidRDefault="0047742E" w:rsidP="0047742E">
      <w:pPr>
        <w:pStyle w:val="FootnoteText"/>
        <w:rPr>
          <w:rFonts w:ascii="Times New Roman" w:hAnsi="Times New Roman" w:cs="Times New Roman"/>
        </w:rPr>
      </w:pPr>
      <w:r w:rsidRPr="00192720">
        <w:rPr>
          <w:rStyle w:val="FootnoteReference"/>
          <w:rFonts w:ascii="Times New Roman" w:hAnsi="Times New Roman" w:cs="Times New Roman"/>
        </w:rPr>
        <w:footnoteRef/>
      </w:r>
      <w:r w:rsidRPr="00192720">
        <w:rPr>
          <w:rFonts w:ascii="Times New Roman" w:hAnsi="Times New Roman" w:cs="Times New Roman"/>
        </w:rPr>
        <w:t xml:space="preserve"> 12 U.S.C. § 5511(b)(1), 12 U.S.C. § 5532(a). </w:t>
      </w:r>
    </w:p>
  </w:footnote>
  <w:footnote w:id="18">
    <w:p w14:paraId="638E07A4" w14:textId="749C3823"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12 C.F.R. § 1026.6. </w:t>
      </w:r>
    </w:p>
  </w:footnote>
  <w:footnote w:id="19">
    <w:p w14:paraId="5AC81976" w14:textId="69A16CD6"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12 C.F.R. § 1030.11.</w:t>
      </w:r>
    </w:p>
  </w:footnote>
  <w:footnote w:id="20">
    <w:p w14:paraId="49859983" w14:textId="43B5B637"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12 C.F.R. § 1005.18 (CFPB’s authority to adopt this rule is currently under review in the D.C. Circuit. </w:t>
      </w:r>
      <w:r w:rsidRPr="006C4C9A">
        <w:rPr>
          <w:rFonts w:ascii="Times New Roman" w:hAnsi="Times New Roman" w:cs="Times New Roman"/>
          <w:i/>
          <w:iCs/>
        </w:rPr>
        <w:t>See PayPal Inc. v. CFPB</w:t>
      </w:r>
      <w:r w:rsidRPr="006C4C9A">
        <w:rPr>
          <w:rFonts w:ascii="Times New Roman" w:hAnsi="Times New Roman" w:cs="Times New Roman"/>
        </w:rPr>
        <w:t>, Case No. 21-5057</w:t>
      </w:r>
      <w:r w:rsidR="00DB077A">
        <w:rPr>
          <w:rFonts w:ascii="Times New Roman" w:hAnsi="Times New Roman" w:cs="Times New Roman"/>
        </w:rPr>
        <w:t>.</w:t>
      </w:r>
      <w:r w:rsidRPr="006C4C9A">
        <w:rPr>
          <w:rFonts w:ascii="Times New Roman" w:hAnsi="Times New Roman" w:cs="Times New Roman"/>
        </w:rPr>
        <w:t>)</w:t>
      </w:r>
    </w:p>
  </w:footnote>
  <w:footnote w:id="21">
    <w:p w14:paraId="255F01AC" w14:textId="77777777"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12 U.S.C. § 5517(m).  </w:t>
      </w:r>
    </w:p>
  </w:footnote>
  <w:footnote w:id="22">
    <w:p w14:paraId="48CFD71C" w14:textId="77777777" w:rsidR="0047742E" w:rsidRPr="006C4C9A" w:rsidRDefault="0047742E" w:rsidP="0047742E">
      <w:pPr>
        <w:pStyle w:val="FootnoteText"/>
        <w:rPr>
          <w:rFonts w:ascii="Times New Roman" w:hAnsi="Times New Roman" w:cs="Times New Roman"/>
        </w:rPr>
      </w:pPr>
      <w:r w:rsidRPr="006C4C9A">
        <w:rPr>
          <w:rStyle w:val="FootnoteReference"/>
          <w:rFonts w:ascii="Times New Roman" w:hAnsi="Times New Roman" w:cs="Times New Roman"/>
        </w:rPr>
        <w:footnoteRef/>
      </w:r>
      <w:r w:rsidRPr="006C4C9A">
        <w:rPr>
          <w:rFonts w:ascii="Times New Roman" w:hAnsi="Times New Roman" w:cs="Times New Roman"/>
        </w:rPr>
        <w:t xml:space="preserve"> 12 U.S.C. § 5531.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CD6B" w14:textId="40403F4C" w:rsidR="00F56EBD" w:rsidRDefault="0065343F" w:rsidP="00F56EBD">
    <w:pPr>
      <w:pStyle w:val="Header"/>
      <w:jc w:val="center"/>
    </w:pPr>
    <w:r w:rsidRPr="0065343F">
      <w:t xml:space="preserve"> </w:t>
    </w:r>
    <w:r w:rsidR="00F56EBD">
      <w:rPr>
        <w:noProof/>
      </w:rPr>
      <w:drawing>
        <wp:inline distT="0" distB="0" distL="0" distR="0" wp14:anchorId="357C1823" wp14:editId="74B6BF8B">
          <wp:extent cx="1267460" cy="1267460"/>
          <wp:effectExtent l="0" t="0" r="8890" b="889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inline>
      </w:drawing>
    </w:r>
  </w:p>
  <w:p w14:paraId="2C0836C3" w14:textId="04B52C96" w:rsidR="0065343F" w:rsidRDefault="0065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6FCB"/>
    <w:multiLevelType w:val="multilevel"/>
    <w:tmpl w:val="428C63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514ED4"/>
    <w:multiLevelType w:val="hybridMultilevel"/>
    <w:tmpl w:val="19A8AA4A"/>
    <w:lvl w:ilvl="0" w:tplc="FE7C7B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736A8"/>
    <w:multiLevelType w:val="multilevel"/>
    <w:tmpl w:val="1638E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9D6E94"/>
    <w:multiLevelType w:val="multilevel"/>
    <w:tmpl w:val="06121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D530361"/>
    <w:multiLevelType w:val="hybridMultilevel"/>
    <w:tmpl w:val="87C86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41F2B"/>
    <w:multiLevelType w:val="multilevel"/>
    <w:tmpl w:val="C2C80A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2214E8D"/>
    <w:multiLevelType w:val="hybridMultilevel"/>
    <w:tmpl w:val="8B048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E4C20"/>
    <w:multiLevelType w:val="multilevel"/>
    <w:tmpl w:val="56A0B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7E76764"/>
    <w:multiLevelType w:val="hybridMultilevel"/>
    <w:tmpl w:val="1EB2F6DC"/>
    <w:lvl w:ilvl="0" w:tplc="1C9E27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A762DA"/>
    <w:multiLevelType w:val="hybridMultilevel"/>
    <w:tmpl w:val="167291EE"/>
    <w:lvl w:ilvl="0" w:tplc="7DD61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4777D"/>
    <w:multiLevelType w:val="hybridMultilevel"/>
    <w:tmpl w:val="714AC744"/>
    <w:lvl w:ilvl="0" w:tplc="1346AE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27792"/>
    <w:multiLevelType w:val="multilevel"/>
    <w:tmpl w:val="C576B9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1E57361"/>
    <w:multiLevelType w:val="hybridMultilevel"/>
    <w:tmpl w:val="5E8A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A522F"/>
    <w:multiLevelType w:val="hybridMultilevel"/>
    <w:tmpl w:val="1FDA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C7E3A"/>
    <w:multiLevelType w:val="hybridMultilevel"/>
    <w:tmpl w:val="B906A9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12C69"/>
    <w:multiLevelType w:val="hybridMultilevel"/>
    <w:tmpl w:val="C112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942A5"/>
    <w:multiLevelType w:val="hybridMultilevel"/>
    <w:tmpl w:val="E51CE49A"/>
    <w:lvl w:ilvl="0" w:tplc="F1807DBA">
      <w:start w:val="29"/>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4"/>
  </w:num>
  <w:num w:numId="3">
    <w:abstractNumId w:val="13"/>
  </w:num>
  <w:num w:numId="4">
    <w:abstractNumId w:val="4"/>
  </w:num>
  <w:num w:numId="5">
    <w:abstractNumId w:val="1"/>
  </w:num>
  <w:num w:numId="6">
    <w:abstractNumId w:val="16"/>
  </w:num>
  <w:num w:numId="7">
    <w:abstractNumId w:val="8"/>
  </w:num>
  <w:num w:numId="8">
    <w:abstractNumId w:val="9"/>
  </w:num>
  <w:num w:numId="9">
    <w:abstractNumId w:val="15"/>
  </w:num>
  <w:num w:numId="10">
    <w:abstractNumId w:val="6"/>
  </w:num>
  <w:num w:numId="11">
    <w:abstractNumId w:val="7"/>
  </w:num>
  <w:num w:numId="12">
    <w:abstractNumId w:val="3"/>
  </w:num>
  <w:num w:numId="13">
    <w:abstractNumId w:val="2"/>
  </w:num>
  <w:num w:numId="14">
    <w:abstractNumId w:val="0"/>
  </w:num>
  <w:num w:numId="15">
    <w:abstractNumId w:val="1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39"/>
    <w:rsid w:val="00000593"/>
    <w:rsid w:val="00003F40"/>
    <w:rsid w:val="00004DC8"/>
    <w:rsid w:val="00005D1E"/>
    <w:rsid w:val="000066A1"/>
    <w:rsid w:val="00013072"/>
    <w:rsid w:val="00015470"/>
    <w:rsid w:val="000158C9"/>
    <w:rsid w:val="000168C6"/>
    <w:rsid w:val="00020626"/>
    <w:rsid w:val="000214CE"/>
    <w:rsid w:val="000217DA"/>
    <w:rsid w:val="00021AF1"/>
    <w:rsid w:val="00021D8C"/>
    <w:rsid w:val="00022965"/>
    <w:rsid w:val="000234B8"/>
    <w:rsid w:val="00024A55"/>
    <w:rsid w:val="00024AC4"/>
    <w:rsid w:val="00025337"/>
    <w:rsid w:val="00025744"/>
    <w:rsid w:val="00030831"/>
    <w:rsid w:val="000327C6"/>
    <w:rsid w:val="000328D7"/>
    <w:rsid w:val="00032D5C"/>
    <w:rsid w:val="00033C7F"/>
    <w:rsid w:val="000344B9"/>
    <w:rsid w:val="000400A6"/>
    <w:rsid w:val="00040714"/>
    <w:rsid w:val="00041B14"/>
    <w:rsid w:val="0004322B"/>
    <w:rsid w:val="00045B4D"/>
    <w:rsid w:val="00046D89"/>
    <w:rsid w:val="00047C26"/>
    <w:rsid w:val="00055B59"/>
    <w:rsid w:val="00056D03"/>
    <w:rsid w:val="00057309"/>
    <w:rsid w:val="000573F2"/>
    <w:rsid w:val="00061EA1"/>
    <w:rsid w:val="00063AFA"/>
    <w:rsid w:val="00063D56"/>
    <w:rsid w:val="00064B5D"/>
    <w:rsid w:val="00070388"/>
    <w:rsid w:val="000703B3"/>
    <w:rsid w:val="00074067"/>
    <w:rsid w:val="00075EDF"/>
    <w:rsid w:val="00076EC4"/>
    <w:rsid w:val="00080795"/>
    <w:rsid w:val="00081696"/>
    <w:rsid w:val="00082B61"/>
    <w:rsid w:val="000835F7"/>
    <w:rsid w:val="00083D3B"/>
    <w:rsid w:val="0008457C"/>
    <w:rsid w:val="00085ECD"/>
    <w:rsid w:val="000871F0"/>
    <w:rsid w:val="000902A0"/>
    <w:rsid w:val="000905B0"/>
    <w:rsid w:val="00092479"/>
    <w:rsid w:val="00094863"/>
    <w:rsid w:val="000958C1"/>
    <w:rsid w:val="00097B50"/>
    <w:rsid w:val="000A092A"/>
    <w:rsid w:val="000A3928"/>
    <w:rsid w:val="000A59BD"/>
    <w:rsid w:val="000B0C88"/>
    <w:rsid w:val="000B19DD"/>
    <w:rsid w:val="000B1EA9"/>
    <w:rsid w:val="000B400F"/>
    <w:rsid w:val="000B40A5"/>
    <w:rsid w:val="000B46DE"/>
    <w:rsid w:val="000B4C26"/>
    <w:rsid w:val="000B5C47"/>
    <w:rsid w:val="000B74BD"/>
    <w:rsid w:val="000C092B"/>
    <w:rsid w:val="000C204F"/>
    <w:rsid w:val="000C2C7A"/>
    <w:rsid w:val="000C3396"/>
    <w:rsid w:val="000C400E"/>
    <w:rsid w:val="000C494E"/>
    <w:rsid w:val="000C5D2E"/>
    <w:rsid w:val="000C72C1"/>
    <w:rsid w:val="000D0506"/>
    <w:rsid w:val="000D1946"/>
    <w:rsid w:val="000D23D3"/>
    <w:rsid w:val="000D3C05"/>
    <w:rsid w:val="000D658D"/>
    <w:rsid w:val="000D700D"/>
    <w:rsid w:val="000E0420"/>
    <w:rsid w:val="000E1F8C"/>
    <w:rsid w:val="000E2E7E"/>
    <w:rsid w:val="000E4960"/>
    <w:rsid w:val="000E5DFF"/>
    <w:rsid w:val="000E7416"/>
    <w:rsid w:val="000F09B8"/>
    <w:rsid w:val="000F1874"/>
    <w:rsid w:val="000F217E"/>
    <w:rsid w:val="000F3567"/>
    <w:rsid w:val="000F3AA0"/>
    <w:rsid w:val="000F5607"/>
    <w:rsid w:val="000F6C18"/>
    <w:rsid w:val="00100A49"/>
    <w:rsid w:val="00100DAA"/>
    <w:rsid w:val="001037C5"/>
    <w:rsid w:val="0010595E"/>
    <w:rsid w:val="00105EB4"/>
    <w:rsid w:val="00107C51"/>
    <w:rsid w:val="00111DE0"/>
    <w:rsid w:val="0011206C"/>
    <w:rsid w:val="00112495"/>
    <w:rsid w:val="0011271F"/>
    <w:rsid w:val="00112B44"/>
    <w:rsid w:val="00112E46"/>
    <w:rsid w:val="00115EA6"/>
    <w:rsid w:val="0011606D"/>
    <w:rsid w:val="001167BC"/>
    <w:rsid w:val="00117448"/>
    <w:rsid w:val="00120B03"/>
    <w:rsid w:val="00120CD6"/>
    <w:rsid w:val="00121D89"/>
    <w:rsid w:val="0012248A"/>
    <w:rsid w:val="00123838"/>
    <w:rsid w:val="0012428A"/>
    <w:rsid w:val="001316D7"/>
    <w:rsid w:val="001325FC"/>
    <w:rsid w:val="00137B87"/>
    <w:rsid w:val="001421B1"/>
    <w:rsid w:val="001458C7"/>
    <w:rsid w:val="001474EF"/>
    <w:rsid w:val="00147FE4"/>
    <w:rsid w:val="001505AF"/>
    <w:rsid w:val="001534D6"/>
    <w:rsid w:val="001543A8"/>
    <w:rsid w:val="001558F1"/>
    <w:rsid w:val="001565E8"/>
    <w:rsid w:val="001571F3"/>
    <w:rsid w:val="001577F2"/>
    <w:rsid w:val="001604B0"/>
    <w:rsid w:val="00160CD0"/>
    <w:rsid w:val="00160DFE"/>
    <w:rsid w:val="001660A4"/>
    <w:rsid w:val="00166473"/>
    <w:rsid w:val="00166B83"/>
    <w:rsid w:val="00167AEA"/>
    <w:rsid w:val="0017399F"/>
    <w:rsid w:val="00174240"/>
    <w:rsid w:val="00175F56"/>
    <w:rsid w:val="00177895"/>
    <w:rsid w:val="00177B38"/>
    <w:rsid w:val="001821B1"/>
    <w:rsid w:val="00182293"/>
    <w:rsid w:val="001823E3"/>
    <w:rsid w:val="00182AD0"/>
    <w:rsid w:val="00183EA8"/>
    <w:rsid w:val="00184D70"/>
    <w:rsid w:val="00185150"/>
    <w:rsid w:val="00186E62"/>
    <w:rsid w:val="00190124"/>
    <w:rsid w:val="00192720"/>
    <w:rsid w:val="00193F80"/>
    <w:rsid w:val="0019436C"/>
    <w:rsid w:val="00195E35"/>
    <w:rsid w:val="001967B5"/>
    <w:rsid w:val="001A62C9"/>
    <w:rsid w:val="001A79F4"/>
    <w:rsid w:val="001B029A"/>
    <w:rsid w:val="001B73A5"/>
    <w:rsid w:val="001B7661"/>
    <w:rsid w:val="001C0D0D"/>
    <w:rsid w:val="001C12C1"/>
    <w:rsid w:val="001C25BB"/>
    <w:rsid w:val="001C27C7"/>
    <w:rsid w:val="001C48B0"/>
    <w:rsid w:val="001C6407"/>
    <w:rsid w:val="001C6467"/>
    <w:rsid w:val="001C76D7"/>
    <w:rsid w:val="001D0629"/>
    <w:rsid w:val="001D09D6"/>
    <w:rsid w:val="001D0F8B"/>
    <w:rsid w:val="001D15EA"/>
    <w:rsid w:val="001D2E7B"/>
    <w:rsid w:val="001D42BB"/>
    <w:rsid w:val="001D4B1C"/>
    <w:rsid w:val="001D600B"/>
    <w:rsid w:val="001D75E1"/>
    <w:rsid w:val="001D7694"/>
    <w:rsid w:val="001D788E"/>
    <w:rsid w:val="001D7CB1"/>
    <w:rsid w:val="001E137B"/>
    <w:rsid w:val="001E528C"/>
    <w:rsid w:val="001E5670"/>
    <w:rsid w:val="001E5FA9"/>
    <w:rsid w:val="001E6206"/>
    <w:rsid w:val="001E6566"/>
    <w:rsid w:val="001E70B3"/>
    <w:rsid w:val="001E712F"/>
    <w:rsid w:val="001F2684"/>
    <w:rsid w:val="001F4CE1"/>
    <w:rsid w:val="001F6A08"/>
    <w:rsid w:val="001F7B82"/>
    <w:rsid w:val="002005D6"/>
    <w:rsid w:val="002009E1"/>
    <w:rsid w:val="0020280D"/>
    <w:rsid w:val="00202864"/>
    <w:rsid w:val="0020475F"/>
    <w:rsid w:val="00204F7A"/>
    <w:rsid w:val="00205489"/>
    <w:rsid w:val="00205B0F"/>
    <w:rsid w:val="00206AB2"/>
    <w:rsid w:val="00207182"/>
    <w:rsid w:val="00207CCA"/>
    <w:rsid w:val="00210613"/>
    <w:rsid w:val="00210A15"/>
    <w:rsid w:val="00210CCC"/>
    <w:rsid w:val="00213444"/>
    <w:rsid w:val="0021426D"/>
    <w:rsid w:val="00214558"/>
    <w:rsid w:val="00214DED"/>
    <w:rsid w:val="002202C7"/>
    <w:rsid w:val="00220720"/>
    <w:rsid w:val="00221E4C"/>
    <w:rsid w:val="002235EC"/>
    <w:rsid w:val="00225369"/>
    <w:rsid w:val="00226D6C"/>
    <w:rsid w:val="00227098"/>
    <w:rsid w:val="002270F5"/>
    <w:rsid w:val="00227BB3"/>
    <w:rsid w:val="00227FE1"/>
    <w:rsid w:val="0023408A"/>
    <w:rsid w:val="00234339"/>
    <w:rsid w:val="00240D99"/>
    <w:rsid w:val="00241104"/>
    <w:rsid w:val="00241783"/>
    <w:rsid w:val="0024208C"/>
    <w:rsid w:val="00242EAF"/>
    <w:rsid w:val="0024339F"/>
    <w:rsid w:val="002434DF"/>
    <w:rsid w:val="002444A4"/>
    <w:rsid w:val="00245894"/>
    <w:rsid w:val="002474C9"/>
    <w:rsid w:val="002504D1"/>
    <w:rsid w:val="0025313A"/>
    <w:rsid w:val="00256056"/>
    <w:rsid w:val="00257D8F"/>
    <w:rsid w:val="00260EA3"/>
    <w:rsid w:val="002617BB"/>
    <w:rsid w:val="002635C7"/>
    <w:rsid w:val="002640AE"/>
    <w:rsid w:val="00264719"/>
    <w:rsid w:val="002654FA"/>
    <w:rsid w:val="00267A8A"/>
    <w:rsid w:val="00267DDC"/>
    <w:rsid w:val="00273FF0"/>
    <w:rsid w:val="00274D15"/>
    <w:rsid w:val="00276841"/>
    <w:rsid w:val="002769BE"/>
    <w:rsid w:val="002773FA"/>
    <w:rsid w:val="00277A47"/>
    <w:rsid w:val="00284829"/>
    <w:rsid w:val="00285335"/>
    <w:rsid w:val="00285369"/>
    <w:rsid w:val="00287103"/>
    <w:rsid w:val="002918FC"/>
    <w:rsid w:val="002929E2"/>
    <w:rsid w:val="00293182"/>
    <w:rsid w:val="00293B2B"/>
    <w:rsid w:val="002940A8"/>
    <w:rsid w:val="00294B1E"/>
    <w:rsid w:val="0029558F"/>
    <w:rsid w:val="002965B6"/>
    <w:rsid w:val="002A0CB5"/>
    <w:rsid w:val="002A2FE4"/>
    <w:rsid w:val="002A39A3"/>
    <w:rsid w:val="002A4A6B"/>
    <w:rsid w:val="002A4F2F"/>
    <w:rsid w:val="002A5EF5"/>
    <w:rsid w:val="002A6475"/>
    <w:rsid w:val="002A6E78"/>
    <w:rsid w:val="002A79E0"/>
    <w:rsid w:val="002A7ABD"/>
    <w:rsid w:val="002B3003"/>
    <w:rsid w:val="002B3088"/>
    <w:rsid w:val="002B30DE"/>
    <w:rsid w:val="002B373A"/>
    <w:rsid w:val="002B39F5"/>
    <w:rsid w:val="002B3C0E"/>
    <w:rsid w:val="002B3DF3"/>
    <w:rsid w:val="002B4690"/>
    <w:rsid w:val="002B5C64"/>
    <w:rsid w:val="002B6064"/>
    <w:rsid w:val="002B6FF4"/>
    <w:rsid w:val="002C0611"/>
    <w:rsid w:val="002C1068"/>
    <w:rsid w:val="002C1CE9"/>
    <w:rsid w:val="002C571E"/>
    <w:rsid w:val="002C6D8B"/>
    <w:rsid w:val="002D0EE9"/>
    <w:rsid w:val="002D12DF"/>
    <w:rsid w:val="002D4D71"/>
    <w:rsid w:val="002D4E49"/>
    <w:rsid w:val="002D62FF"/>
    <w:rsid w:val="002D6C08"/>
    <w:rsid w:val="002E020D"/>
    <w:rsid w:val="002E07D3"/>
    <w:rsid w:val="002E0F6F"/>
    <w:rsid w:val="002E1DFB"/>
    <w:rsid w:val="002E64C3"/>
    <w:rsid w:val="002E6AB2"/>
    <w:rsid w:val="002F3F84"/>
    <w:rsid w:val="003009F1"/>
    <w:rsid w:val="003013CE"/>
    <w:rsid w:val="00302E62"/>
    <w:rsid w:val="00303B51"/>
    <w:rsid w:val="00304D3D"/>
    <w:rsid w:val="003051DF"/>
    <w:rsid w:val="003055C2"/>
    <w:rsid w:val="003057DE"/>
    <w:rsid w:val="00307474"/>
    <w:rsid w:val="00310520"/>
    <w:rsid w:val="0031114D"/>
    <w:rsid w:val="00312201"/>
    <w:rsid w:val="003126F4"/>
    <w:rsid w:val="00313E11"/>
    <w:rsid w:val="00314D9B"/>
    <w:rsid w:val="00316A98"/>
    <w:rsid w:val="00316D91"/>
    <w:rsid w:val="00317B9D"/>
    <w:rsid w:val="0032033C"/>
    <w:rsid w:val="0032168A"/>
    <w:rsid w:val="00321840"/>
    <w:rsid w:val="00321B71"/>
    <w:rsid w:val="00321BB9"/>
    <w:rsid w:val="003230D4"/>
    <w:rsid w:val="003239C1"/>
    <w:rsid w:val="0032577D"/>
    <w:rsid w:val="00330AB1"/>
    <w:rsid w:val="00330EFA"/>
    <w:rsid w:val="00332476"/>
    <w:rsid w:val="003329F8"/>
    <w:rsid w:val="00332B08"/>
    <w:rsid w:val="0033306C"/>
    <w:rsid w:val="00333CEB"/>
    <w:rsid w:val="00334274"/>
    <w:rsid w:val="00335C6A"/>
    <w:rsid w:val="003373DA"/>
    <w:rsid w:val="00340C14"/>
    <w:rsid w:val="0034131D"/>
    <w:rsid w:val="003418A0"/>
    <w:rsid w:val="0034259B"/>
    <w:rsid w:val="00342F9F"/>
    <w:rsid w:val="00343719"/>
    <w:rsid w:val="00344C3E"/>
    <w:rsid w:val="003467B6"/>
    <w:rsid w:val="0035057D"/>
    <w:rsid w:val="003519D1"/>
    <w:rsid w:val="0035348E"/>
    <w:rsid w:val="00353CCA"/>
    <w:rsid w:val="00354429"/>
    <w:rsid w:val="0036036A"/>
    <w:rsid w:val="0036155F"/>
    <w:rsid w:val="003627F1"/>
    <w:rsid w:val="0036487C"/>
    <w:rsid w:val="00366BD9"/>
    <w:rsid w:val="00366F7A"/>
    <w:rsid w:val="00373036"/>
    <w:rsid w:val="0037338D"/>
    <w:rsid w:val="00373A49"/>
    <w:rsid w:val="00373D97"/>
    <w:rsid w:val="0037427D"/>
    <w:rsid w:val="0037461F"/>
    <w:rsid w:val="00375D3B"/>
    <w:rsid w:val="00377C7C"/>
    <w:rsid w:val="00382062"/>
    <w:rsid w:val="00383F94"/>
    <w:rsid w:val="003846E7"/>
    <w:rsid w:val="003876AB"/>
    <w:rsid w:val="003907A0"/>
    <w:rsid w:val="003917CC"/>
    <w:rsid w:val="003917D6"/>
    <w:rsid w:val="00394421"/>
    <w:rsid w:val="00395259"/>
    <w:rsid w:val="003959F2"/>
    <w:rsid w:val="003A1A05"/>
    <w:rsid w:val="003A1B2D"/>
    <w:rsid w:val="003A3134"/>
    <w:rsid w:val="003A3579"/>
    <w:rsid w:val="003A373E"/>
    <w:rsid w:val="003B144C"/>
    <w:rsid w:val="003B33D9"/>
    <w:rsid w:val="003B3520"/>
    <w:rsid w:val="003B3635"/>
    <w:rsid w:val="003B440B"/>
    <w:rsid w:val="003B478E"/>
    <w:rsid w:val="003B728C"/>
    <w:rsid w:val="003C040D"/>
    <w:rsid w:val="003C341A"/>
    <w:rsid w:val="003C3E58"/>
    <w:rsid w:val="003C47B6"/>
    <w:rsid w:val="003C4E04"/>
    <w:rsid w:val="003C52A4"/>
    <w:rsid w:val="003C7B6D"/>
    <w:rsid w:val="003D0FC0"/>
    <w:rsid w:val="003D2065"/>
    <w:rsid w:val="003D5318"/>
    <w:rsid w:val="003D72CF"/>
    <w:rsid w:val="003E11C2"/>
    <w:rsid w:val="003E63E9"/>
    <w:rsid w:val="003E6C00"/>
    <w:rsid w:val="003F0385"/>
    <w:rsid w:val="003F091A"/>
    <w:rsid w:val="003F245A"/>
    <w:rsid w:val="003F39CA"/>
    <w:rsid w:val="003F4DD0"/>
    <w:rsid w:val="003F5B7A"/>
    <w:rsid w:val="003F62C5"/>
    <w:rsid w:val="003F79A5"/>
    <w:rsid w:val="0040093A"/>
    <w:rsid w:val="00400F3A"/>
    <w:rsid w:val="004013FA"/>
    <w:rsid w:val="00403ED0"/>
    <w:rsid w:val="00406153"/>
    <w:rsid w:val="00406C31"/>
    <w:rsid w:val="004079ED"/>
    <w:rsid w:val="004106BF"/>
    <w:rsid w:val="00411660"/>
    <w:rsid w:val="00414971"/>
    <w:rsid w:val="00414D93"/>
    <w:rsid w:val="0041562A"/>
    <w:rsid w:val="00415902"/>
    <w:rsid w:val="004160A2"/>
    <w:rsid w:val="00420061"/>
    <w:rsid w:val="00420141"/>
    <w:rsid w:val="0042413B"/>
    <w:rsid w:val="00424FF4"/>
    <w:rsid w:val="00426750"/>
    <w:rsid w:val="00426F4B"/>
    <w:rsid w:val="00432927"/>
    <w:rsid w:val="00433121"/>
    <w:rsid w:val="00433886"/>
    <w:rsid w:val="004359D5"/>
    <w:rsid w:val="00435BB0"/>
    <w:rsid w:val="004408B3"/>
    <w:rsid w:val="00440984"/>
    <w:rsid w:val="00441E30"/>
    <w:rsid w:val="004450A0"/>
    <w:rsid w:val="0044732C"/>
    <w:rsid w:val="00447E65"/>
    <w:rsid w:val="00451A43"/>
    <w:rsid w:val="0045545A"/>
    <w:rsid w:val="00455C91"/>
    <w:rsid w:val="00456128"/>
    <w:rsid w:val="00460099"/>
    <w:rsid w:val="004621AB"/>
    <w:rsid w:val="004621CF"/>
    <w:rsid w:val="004636B2"/>
    <w:rsid w:val="00463D45"/>
    <w:rsid w:val="004642AC"/>
    <w:rsid w:val="00465521"/>
    <w:rsid w:val="00467CE7"/>
    <w:rsid w:val="00467E6D"/>
    <w:rsid w:val="004717BA"/>
    <w:rsid w:val="00472128"/>
    <w:rsid w:val="00475444"/>
    <w:rsid w:val="00476193"/>
    <w:rsid w:val="0047742E"/>
    <w:rsid w:val="004808D1"/>
    <w:rsid w:val="00483B4E"/>
    <w:rsid w:val="00490467"/>
    <w:rsid w:val="004935A3"/>
    <w:rsid w:val="00495FE3"/>
    <w:rsid w:val="00496CED"/>
    <w:rsid w:val="00497042"/>
    <w:rsid w:val="004979B0"/>
    <w:rsid w:val="004A3117"/>
    <w:rsid w:val="004A4899"/>
    <w:rsid w:val="004A54BB"/>
    <w:rsid w:val="004A5BBB"/>
    <w:rsid w:val="004A7A96"/>
    <w:rsid w:val="004B5A3A"/>
    <w:rsid w:val="004B5D59"/>
    <w:rsid w:val="004B5F9A"/>
    <w:rsid w:val="004B78C7"/>
    <w:rsid w:val="004C0B24"/>
    <w:rsid w:val="004C0BC5"/>
    <w:rsid w:val="004C16B2"/>
    <w:rsid w:val="004C1B96"/>
    <w:rsid w:val="004C54A7"/>
    <w:rsid w:val="004C5D5C"/>
    <w:rsid w:val="004D0437"/>
    <w:rsid w:val="004D0D3F"/>
    <w:rsid w:val="004D188E"/>
    <w:rsid w:val="004D19A7"/>
    <w:rsid w:val="004D1CDB"/>
    <w:rsid w:val="004D23A2"/>
    <w:rsid w:val="004D4D2B"/>
    <w:rsid w:val="004D6C92"/>
    <w:rsid w:val="004E02CA"/>
    <w:rsid w:val="004E1760"/>
    <w:rsid w:val="004E2509"/>
    <w:rsid w:val="004E3C11"/>
    <w:rsid w:val="004E4557"/>
    <w:rsid w:val="004E5173"/>
    <w:rsid w:val="004E6DD3"/>
    <w:rsid w:val="004E72C2"/>
    <w:rsid w:val="004F0499"/>
    <w:rsid w:val="004F1612"/>
    <w:rsid w:val="004F18E0"/>
    <w:rsid w:val="004F1924"/>
    <w:rsid w:val="004F1C71"/>
    <w:rsid w:val="004F4F00"/>
    <w:rsid w:val="004F5352"/>
    <w:rsid w:val="004F5ECE"/>
    <w:rsid w:val="004F767F"/>
    <w:rsid w:val="00501096"/>
    <w:rsid w:val="00502605"/>
    <w:rsid w:val="00504C21"/>
    <w:rsid w:val="00505270"/>
    <w:rsid w:val="005056C1"/>
    <w:rsid w:val="0050714B"/>
    <w:rsid w:val="005078BD"/>
    <w:rsid w:val="00511CAD"/>
    <w:rsid w:val="005125C8"/>
    <w:rsid w:val="00514A41"/>
    <w:rsid w:val="005153C4"/>
    <w:rsid w:val="005156EF"/>
    <w:rsid w:val="0051584A"/>
    <w:rsid w:val="005166FE"/>
    <w:rsid w:val="00522264"/>
    <w:rsid w:val="0052371E"/>
    <w:rsid w:val="0052373C"/>
    <w:rsid w:val="00524B94"/>
    <w:rsid w:val="00531B83"/>
    <w:rsid w:val="00532AEA"/>
    <w:rsid w:val="00534BE6"/>
    <w:rsid w:val="005370B6"/>
    <w:rsid w:val="005410F8"/>
    <w:rsid w:val="005446F6"/>
    <w:rsid w:val="005453F5"/>
    <w:rsid w:val="00546573"/>
    <w:rsid w:val="005468B4"/>
    <w:rsid w:val="00546E48"/>
    <w:rsid w:val="00546E81"/>
    <w:rsid w:val="00550DBF"/>
    <w:rsid w:val="00552A42"/>
    <w:rsid w:val="00553422"/>
    <w:rsid w:val="00563D1A"/>
    <w:rsid w:val="00563F9E"/>
    <w:rsid w:val="00564FAC"/>
    <w:rsid w:val="005661D2"/>
    <w:rsid w:val="00566B8E"/>
    <w:rsid w:val="00567739"/>
    <w:rsid w:val="00572749"/>
    <w:rsid w:val="00573680"/>
    <w:rsid w:val="005759D3"/>
    <w:rsid w:val="00576100"/>
    <w:rsid w:val="00576B8E"/>
    <w:rsid w:val="005774B0"/>
    <w:rsid w:val="00580595"/>
    <w:rsid w:val="0058092B"/>
    <w:rsid w:val="00581305"/>
    <w:rsid w:val="00582389"/>
    <w:rsid w:val="00582DAD"/>
    <w:rsid w:val="00583C32"/>
    <w:rsid w:val="00584D98"/>
    <w:rsid w:val="00585D71"/>
    <w:rsid w:val="00586B37"/>
    <w:rsid w:val="00587383"/>
    <w:rsid w:val="005873B5"/>
    <w:rsid w:val="00587C42"/>
    <w:rsid w:val="00591A2D"/>
    <w:rsid w:val="005927D8"/>
    <w:rsid w:val="0059650B"/>
    <w:rsid w:val="00596A02"/>
    <w:rsid w:val="00596A7B"/>
    <w:rsid w:val="00597F76"/>
    <w:rsid w:val="005A0787"/>
    <w:rsid w:val="005A0DBD"/>
    <w:rsid w:val="005A333C"/>
    <w:rsid w:val="005A5153"/>
    <w:rsid w:val="005B0369"/>
    <w:rsid w:val="005B57F0"/>
    <w:rsid w:val="005B602E"/>
    <w:rsid w:val="005B6083"/>
    <w:rsid w:val="005C1AA9"/>
    <w:rsid w:val="005C32E9"/>
    <w:rsid w:val="005C5A25"/>
    <w:rsid w:val="005C631D"/>
    <w:rsid w:val="005C6497"/>
    <w:rsid w:val="005C75BA"/>
    <w:rsid w:val="005D1B3B"/>
    <w:rsid w:val="005D3669"/>
    <w:rsid w:val="005D37A2"/>
    <w:rsid w:val="005D385C"/>
    <w:rsid w:val="005D38AB"/>
    <w:rsid w:val="005D3933"/>
    <w:rsid w:val="005D4DED"/>
    <w:rsid w:val="005E0C1C"/>
    <w:rsid w:val="005E143E"/>
    <w:rsid w:val="005E1AE3"/>
    <w:rsid w:val="005E2A03"/>
    <w:rsid w:val="005E3BE7"/>
    <w:rsid w:val="005F44FC"/>
    <w:rsid w:val="005F460A"/>
    <w:rsid w:val="005F7740"/>
    <w:rsid w:val="00606C83"/>
    <w:rsid w:val="00614353"/>
    <w:rsid w:val="00614758"/>
    <w:rsid w:val="00615F89"/>
    <w:rsid w:val="00616533"/>
    <w:rsid w:val="00624E07"/>
    <w:rsid w:val="00625AA5"/>
    <w:rsid w:val="006267AC"/>
    <w:rsid w:val="00626F06"/>
    <w:rsid w:val="00630A5F"/>
    <w:rsid w:val="00631CDC"/>
    <w:rsid w:val="00631E99"/>
    <w:rsid w:val="00631FD9"/>
    <w:rsid w:val="006331E8"/>
    <w:rsid w:val="006338A0"/>
    <w:rsid w:val="006349DB"/>
    <w:rsid w:val="0063554F"/>
    <w:rsid w:val="00636651"/>
    <w:rsid w:val="006401ED"/>
    <w:rsid w:val="00640862"/>
    <w:rsid w:val="006431CE"/>
    <w:rsid w:val="00645B94"/>
    <w:rsid w:val="0064672D"/>
    <w:rsid w:val="006468B0"/>
    <w:rsid w:val="00647202"/>
    <w:rsid w:val="0064740F"/>
    <w:rsid w:val="0064766A"/>
    <w:rsid w:val="0065342D"/>
    <w:rsid w:val="0065343F"/>
    <w:rsid w:val="00655705"/>
    <w:rsid w:val="00655E0E"/>
    <w:rsid w:val="006561D0"/>
    <w:rsid w:val="006602A8"/>
    <w:rsid w:val="00660A10"/>
    <w:rsid w:val="00660DCB"/>
    <w:rsid w:val="00661830"/>
    <w:rsid w:val="00661958"/>
    <w:rsid w:val="0066386F"/>
    <w:rsid w:val="00663ED3"/>
    <w:rsid w:val="00665334"/>
    <w:rsid w:val="006654CC"/>
    <w:rsid w:val="00667C2B"/>
    <w:rsid w:val="0067014E"/>
    <w:rsid w:val="0067040C"/>
    <w:rsid w:val="00670C5D"/>
    <w:rsid w:val="00670DEF"/>
    <w:rsid w:val="00670F8A"/>
    <w:rsid w:val="006714CD"/>
    <w:rsid w:val="0067284E"/>
    <w:rsid w:val="00675739"/>
    <w:rsid w:val="00675C23"/>
    <w:rsid w:val="006776A6"/>
    <w:rsid w:val="00677D00"/>
    <w:rsid w:val="00681D14"/>
    <w:rsid w:val="00682BD6"/>
    <w:rsid w:val="006843E2"/>
    <w:rsid w:val="00685B5D"/>
    <w:rsid w:val="006862FD"/>
    <w:rsid w:val="0068757A"/>
    <w:rsid w:val="00690E49"/>
    <w:rsid w:val="00693237"/>
    <w:rsid w:val="00694499"/>
    <w:rsid w:val="0069470E"/>
    <w:rsid w:val="00694ECE"/>
    <w:rsid w:val="00695545"/>
    <w:rsid w:val="0069705D"/>
    <w:rsid w:val="0069717F"/>
    <w:rsid w:val="006A04CB"/>
    <w:rsid w:val="006A3B34"/>
    <w:rsid w:val="006A4191"/>
    <w:rsid w:val="006A465D"/>
    <w:rsid w:val="006A563D"/>
    <w:rsid w:val="006A5F07"/>
    <w:rsid w:val="006A7DA6"/>
    <w:rsid w:val="006A7F75"/>
    <w:rsid w:val="006B0E18"/>
    <w:rsid w:val="006B0E80"/>
    <w:rsid w:val="006B1532"/>
    <w:rsid w:val="006B20F2"/>
    <w:rsid w:val="006B2370"/>
    <w:rsid w:val="006B3315"/>
    <w:rsid w:val="006B4CF2"/>
    <w:rsid w:val="006B4F7C"/>
    <w:rsid w:val="006B5575"/>
    <w:rsid w:val="006B614F"/>
    <w:rsid w:val="006B736A"/>
    <w:rsid w:val="006B7D9B"/>
    <w:rsid w:val="006C44F0"/>
    <w:rsid w:val="006C4B58"/>
    <w:rsid w:val="006C4C9A"/>
    <w:rsid w:val="006C53FA"/>
    <w:rsid w:val="006C577F"/>
    <w:rsid w:val="006C726E"/>
    <w:rsid w:val="006C77B2"/>
    <w:rsid w:val="006D093F"/>
    <w:rsid w:val="006D3E75"/>
    <w:rsid w:val="006D51D7"/>
    <w:rsid w:val="006D526A"/>
    <w:rsid w:val="006D6263"/>
    <w:rsid w:val="006D6AB5"/>
    <w:rsid w:val="006D6FE1"/>
    <w:rsid w:val="006D7602"/>
    <w:rsid w:val="006E065D"/>
    <w:rsid w:val="006E06A5"/>
    <w:rsid w:val="006E0ACC"/>
    <w:rsid w:val="006E224B"/>
    <w:rsid w:val="006E3D86"/>
    <w:rsid w:val="006E5A9B"/>
    <w:rsid w:val="006E5B2F"/>
    <w:rsid w:val="006E7662"/>
    <w:rsid w:val="006F536D"/>
    <w:rsid w:val="006F630D"/>
    <w:rsid w:val="007001C2"/>
    <w:rsid w:val="007001D0"/>
    <w:rsid w:val="0070138B"/>
    <w:rsid w:val="0070206A"/>
    <w:rsid w:val="007034FC"/>
    <w:rsid w:val="007049B0"/>
    <w:rsid w:val="007057F4"/>
    <w:rsid w:val="0070596E"/>
    <w:rsid w:val="00707082"/>
    <w:rsid w:val="00711709"/>
    <w:rsid w:val="00711A84"/>
    <w:rsid w:val="007120A7"/>
    <w:rsid w:val="00715D45"/>
    <w:rsid w:val="007176C4"/>
    <w:rsid w:val="00720E65"/>
    <w:rsid w:val="007220B9"/>
    <w:rsid w:val="00722495"/>
    <w:rsid w:val="00723AA0"/>
    <w:rsid w:val="0072598D"/>
    <w:rsid w:val="00725AD9"/>
    <w:rsid w:val="00726FB5"/>
    <w:rsid w:val="00727CB5"/>
    <w:rsid w:val="0073203D"/>
    <w:rsid w:val="00732094"/>
    <w:rsid w:val="007326FC"/>
    <w:rsid w:val="00733044"/>
    <w:rsid w:val="007332B5"/>
    <w:rsid w:val="00733D46"/>
    <w:rsid w:val="0073655F"/>
    <w:rsid w:val="00736596"/>
    <w:rsid w:val="007369E5"/>
    <w:rsid w:val="00736B9F"/>
    <w:rsid w:val="00737319"/>
    <w:rsid w:val="0073788B"/>
    <w:rsid w:val="0074134D"/>
    <w:rsid w:val="00743933"/>
    <w:rsid w:val="0074452A"/>
    <w:rsid w:val="007471F8"/>
    <w:rsid w:val="0075170A"/>
    <w:rsid w:val="00752DEA"/>
    <w:rsid w:val="00755AF1"/>
    <w:rsid w:val="007560A4"/>
    <w:rsid w:val="007562BA"/>
    <w:rsid w:val="00757B0A"/>
    <w:rsid w:val="007607A6"/>
    <w:rsid w:val="00761C80"/>
    <w:rsid w:val="00762F9B"/>
    <w:rsid w:val="00764006"/>
    <w:rsid w:val="00765B53"/>
    <w:rsid w:val="0076601F"/>
    <w:rsid w:val="0076675F"/>
    <w:rsid w:val="00766DBA"/>
    <w:rsid w:val="0076762E"/>
    <w:rsid w:val="00767A88"/>
    <w:rsid w:val="00770ED2"/>
    <w:rsid w:val="00772592"/>
    <w:rsid w:val="00775723"/>
    <w:rsid w:val="00775CE2"/>
    <w:rsid w:val="0077604C"/>
    <w:rsid w:val="00777A1D"/>
    <w:rsid w:val="007805C2"/>
    <w:rsid w:val="00783300"/>
    <w:rsid w:val="00784A53"/>
    <w:rsid w:val="00784CDF"/>
    <w:rsid w:val="007873B8"/>
    <w:rsid w:val="00790E61"/>
    <w:rsid w:val="007910A4"/>
    <w:rsid w:val="00795174"/>
    <w:rsid w:val="00795FE3"/>
    <w:rsid w:val="00797C19"/>
    <w:rsid w:val="007A041A"/>
    <w:rsid w:val="007A042B"/>
    <w:rsid w:val="007A3BE7"/>
    <w:rsid w:val="007A51BB"/>
    <w:rsid w:val="007A7BB3"/>
    <w:rsid w:val="007B0959"/>
    <w:rsid w:val="007B22D7"/>
    <w:rsid w:val="007B44C9"/>
    <w:rsid w:val="007B44F8"/>
    <w:rsid w:val="007B4607"/>
    <w:rsid w:val="007B7A35"/>
    <w:rsid w:val="007C030D"/>
    <w:rsid w:val="007C2DEE"/>
    <w:rsid w:val="007C55BB"/>
    <w:rsid w:val="007C64B3"/>
    <w:rsid w:val="007C67B3"/>
    <w:rsid w:val="007C7192"/>
    <w:rsid w:val="007C7B43"/>
    <w:rsid w:val="007D12A9"/>
    <w:rsid w:val="007D171D"/>
    <w:rsid w:val="007D18C1"/>
    <w:rsid w:val="007D1966"/>
    <w:rsid w:val="007D1F3E"/>
    <w:rsid w:val="007D21A3"/>
    <w:rsid w:val="007D23CF"/>
    <w:rsid w:val="007D6AE6"/>
    <w:rsid w:val="007D74FF"/>
    <w:rsid w:val="007D7E1D"/>
    <w:rsid w:val="007E42C2"/>
    <w:rsid w:val="007E4AD0"/>
    <w:rsid w:val="007E5659"/>
    <w:rsid w:val="007E6D87"/>
    <w:rsid w:val="007F07CC"/>
    <w:rsid w:val="007F2952"/>
    <w:rsid w:val="007F4C2F"/>
    <w:rsid w:val="007F58A7"/>
    <w:rsid w:val="007F5965"/>
    <w:rsid w:val="00800B09"/>
    <w:rsid w:val="00800E71"/>
    <w:rsid w:val="00802338"/>
    <w:rsid w:val="008024FE"/>
    <w:rsid w:val="008025F3"/>
    <w:rsid w:val="00802D4B"/>
    <w:rsid w:val="00805693"/>
    <w:rsid w:val="0080639F"/>
    <w:rsid w:val="00813225"/>
    <w:rsid w:val="008133C5"/>
    <w:rsid w:val="00815339"/>
    <w:rsid w:val="00815728"/>
    <w:rsid w:val="00816291"/>
    <w:rsid w:val="0081629C"/>
    <w:rsid w:val="00816EB7"/>
    <w:rsid w:val="00822D8E"/>
    <w:rsid w:val="00827B49"/>
    <w:rsid w:val="008306CB"/>
    <w:rsid w:val="00832BF8"/>
    <w:rsid w:val="00833098"/>
    <w:rsid w:val="00833649"/>
    <w:rsid w:val="00834109"/>
    <w:rsid w:val="00834CE6"/>
    <w:rsid w:val="00834E9E"/>
    <w:rsid w:val="008365E8"/>
    <w:rsid w:val="00836A49"/>
    <w:rsid w:val="00841B08"/>
    <w:rsid w:val="00843C1E"/>
    <w:rsid w:val="00846BD7"/>
    <w:rsid w:val="00850C87"/>
    <w:rsid w:val="008512D7"/>
    <w:rsid w:val="008515A2"/>
    <w:rsid w:val="0085218E"/>
    <w:rsid w:val="00853B83"/>
    <w:rsid w:val="00854748"/>
    <w:rsid w:val="00856412"/>
    <w:rsid w:val="00857D65"/>
    <w:rsid w:val="00862010"/>
    <w:rsid w:val="00863134"/>
    <w:rsid w:val="00864872"/>
    <w:rsid w:val="00865D0D"/>
    <w:rsid w:val="008666D5"/>
    <w:rsid w:val="00870D4E"/>
    <w:rsid w:val="008718D0"/>
    <w:rsid w:val="00872602"/>
    <w:rsid w:val="008730D0"/>
    <w:rsid w:val="0087397F"/>
    <w:rsid w:val="00873A47"/>
    <w:rsid w:val="008755D4"/>
    <w:rsid w:val="00877847"/>
    <w:rsid w:val="0088071A"/>
    <w:rsid w:val="00882070"/>
    <w:rsid w:val="00883346"/>
    <w:rsid w:val="00883DA7"/>
    <w:rsid w:val="00887406"/>
    <w:rsid w:val="008915CF"/>
    <w:rsid w:val="00891DEE"/>
    <w:rsid w:val="0089621F"/>
    <w:rsid w:val="00896676"/>
    <w:rsid w:val="00896B0C"/>
    <w:rsid w:val="008A29A0"/>
    <w:rsid w:val="008A2EC6"/>
    <w:rsid w:val="008A3A59"/>
    <w:rsid w:val="008A5761"/>
    <w:rsid w:val="008A5935"/>
    <w:rsid w:val="008A714E"/>
    <w:rsid w:val="008A7E0A"/>
    <w:rsid w:val="008B028A"/>
    <w:rsid w:val="008B160F"/>
    <w:rsid w:val="008B3160"/>
    <w:rsid w:val="008B36C2"/>
    <w:rsid w:val="008B43D2"/>
    <w:rsid w:val="008B44A3"/>
    <w:rsid w:val="008B762C"/>
    <w:rsid w:val="008B7DF8"/>
    <w:rsid w:val="008C05CF"/>
    <w:rsid w:val="008D07AC"/>
    <w:rsid w:val="008D22F5"/>
    <w:rsid w:val="008D4D8C"/>
    <w:rsid w:val="008D4DE4"/>
    <w:rsid w:val="008D6AA9"/>
    <w:rsid w:val="008D6DFA"/>
    <w:rsid w:val="008E0D40"/>
    <w:rsid w:val="008E12BC"/>
    <w:rsid w:val="008E1625"/>
    <w:rsid w:val="008E1E68"/>
    <w:rsid w:val="008E25E1"/>
    <w:rsid w:val="008E3C9B"/>
    <w:rsid w:val="008E3E2A"/>
    <w:rsid w:val="008E45C3"/>
    <w:rsid w:val="008E5364"/>
    <w:rsid w:val="008E54CA"/>
    <w:rsid w:val="008E58C3"/>
    <w:rsid w:val="008E58ED"/>
    <w:rsid w:val="008F19A5"/>
    <w:rsid w:val="008F19F2"/>
    <w:rsid w:val="008F3486"/>
    <w:rsid w:val="008F6294"/>
    <w:rsid w:val="008F6B7B"/>
    <w:rsid w:val="00900263"/>
    <w:rsid w:val="00902EAD"/>
    <w:rsid w:val="009036E8"/>
    <w:rsid w:val="0090451A"/>
    <w:rsid w:val="009047F2"/>
    <w:rsid w:val="00905FA8"/>
    <w:rsid w:val="0090603C"/>
    <w:rsid w:val="0090675F"/>
    <w:rsid w:val="00907342"/>
    <w:rsid w:val="00910E1C"/>
    <w:rsid w:val="00910F73"/>
    <w:rsid w:val="0091428F"/>
    <w:rsid w:val="009163DE"/>
    <w:rsid w:val="009169B4"/>
    <w:rsid w:val="00917C06"/>
    <w:rsid w:val="009204B0"/>
    <w:rsid w:val="0092198B"/>
    <w:rsid w:val="009228DF"/>
    <w:rsid w:val="0092446C"/>
    <w:rsid w:val="00924845"/>
    <w:rsid w:val="00925AAA"/>
    <w:rsid w:val="00927F8B"/>
    <w:rsid w:val="00930BE3"/>
    <w:rsid w:val="00931EF7"/>
    <w:rsid w:val="00932191"/>
    <w:rsid w:val="00934D04"/>
    <w:rsid w:val="009356DB"/>
    <w:rsid w:val="00935939"/>
    <w:rsid w:val="0093621D"/>
    <w:rsid w:val="00936731"/>
    <w:rsid w:val="0094151D"/>
    <w:rsid w:val="009421B2"/>
    <w:rsid w:val="00942DD7"/>
    <w:rsid w:val="009441BA"/>
    <w:rsid w:val="009443D6"/>
    <w:rsid w:val="00947FF4"/>
    <w:rsid w:val="009532F8"/>
    <w:rsid w:val="00957AA4"/>
    <w:rsid w:val="00962F99"/>
    <w:rsid w:val="0096371B"/>
    <w:rsid w:val="009659BE"/>
    <w:rsid w:val="0096753E"/>
    <w:rsid w:val="00970058"/>
    <w:rsid w:val="009709B7"/>
    <w:rsid w:val="00970BFC"/>
    <w:rsid w:val="00970F69"/>
    <w:rsid w:val="009717BE"/>
    <w:rsid w:val="00972210"/>
    <w:rsid w:val="0097244A"/>
    <w:rsid w:val="009727FA"/>
    <w:rsid w:val="00972AB2"/>
    <w:rsid w:val="00972AEC"/>
    <w:rsid w:val="00974E3C"/>
    <w:rsid w:val="00976578"/>
    <w:rsid w:val="00981222"/>
    <w:rsid w:val="00981539"/>
    <w:rsid w:val="00982ED0"/>
    <w:rsid w:val="00986845"/>
    <w:rsid w:val="00990731"/>
    <w:rsid w:val="00990E85"/>
    <w:rsid w:val="0099228F"/>
    <w:rsid w:val="0099323A"/>
    <w:rsid w:val="00995E1A"/>
    <w:rsid w:val="0099729A"/>
    <w:rsid w:val="009979BA"/>
    <w:rsid w:val="00997C04"/>
    <w:rsid w:val="009A134B"/>
    <w:rsid w:val="009A1774"/>
    <w:rsid w:val="009A1832"/>
    <w:rsid w:val="009A20CF"/>
    <w:rsid w:val="009A2A4D"/>
    <w:rsid w:val="009A7427"/>
    <w:rsid w:val="009B45BC"/>
    <w:rsid w:val="009B6B6A"/>
    <w:rsid w:val="009C097E"/>
    <w:rsid w:val="009C0D5E"/>
    <w:rsid w:val="009C1408"/>
    <w:rsid w:val="009C1CDD"/>
    <w:rsid w:val="009C1D57"/>
    <w:rsid w:val="009C3DF4"/>
    <w:rsid w:val="009C4773"/>
    <w:rsid w:val="009C4C11"/>
    <w:rsid w:val="009C7531"/>
    <w:rsid w:val="009C75AD"/>
    <w:rsid w:val="009D16AF"/>
    <w:rsid w:val="009D2AC1"/>
    <w:rsid w:val="009D5AE7"/>
    <w:rsid w:val="009D66D5"/>
    <w:rsid w:val="009D7381"/>
    <w:rsid w:val="009D7EEB"/>
    <w:rsid w:val="009E047E"/>
    <w:rsid w:val="009E069E"/>
    <w:rsid w:val="009E0779"/>
    <w:rsid w:val="009E07C8"/>
    <w:rsid w:val="009E1C96"/>
    <w:rsid w:val="009E2B04"/>
    <w:rsid w:val="009E3C0B"/>
    <w:rsid w:val="009E3C1C"/>
    <w:rsid w:val="009E42A2"/>
    <w:rsid w:val="009E4896"/>
    <w:rsid w:val="009E6809"/>
    <w:rsid w:val="009E7661"/>
    <w:rsid w:val="009F2D6E"/>
    <w:rsid w:val="009F391C"/>
    <w:rsid w:val="009F64B8"/>
    <w:rsid w:val="009F667B"/>
    <w:rsid w:val="00A002DA"/>
    <w:rsid w:val="00A01BF0"/>
    <w:rsid w:val="00A01F51"/>
    <w:rsid w:val="00A04B29"/>
    <w:rsid w:val="00A05EE4"/>
    <w:rsid w:val="00A05EE8"/>
    <w:rsid w:val="00A068C8"/>
    <w:rsid w:val="00A10521"/>
    <w:rsid w:val="00A10B77"/>
    <w:rsid w:val="00A154F7"/>
    <w:rsid w:val="00A178E8"/>
    <w:rsid w:val="00A17D6D"/>
    <w:rsid w:val="00A17DEF"/>
    <w:rsid w:val="00A17F82"/>
    <w:rsid w:val="00A17FBC"/>
    <w:rsid w:val="00A21D8C"/>
    <w:rsid w:val="00A233A6"/>
    <w:rsid w:val="00A23898"/>
    <w:rsid w:val="00A25DD7"/>
    <w:rsid w:val="00A311BF"/>
    <w:rsid w:val="00A31F87"/>
    <w:rsid w:val="00A33EE7"/>
    <w:rsid w:val="00A348B0"/>
    <w:rsid w:val="00A358C6"/>
    <w:rsid w:val="00A367E8"/>
    <w:rsid w:val="00A36BB8"/>
    <w:rsid w:val="00A40C41"/>
    <w:rsid w:val="00A44FB8"/>
    <w:rsid w:val="00A45C31"/>
    <w:rsid w:val="00A45C5F"/>
    <w:rsid w:val="00A45DAE"/>
    <w:rsid w:val="00A4698B"/>
    <w:rsid w:val="00A50FB2"/>
    <w:rsid w:val="00A51E04"/>
    <w:rsid w:val="00A532E9"/>
    <w:rsid w:val="00A55142"/>
    <w:rsid w:val="00A5539B"/>
    <w:rsid w:val="00A5582E"/>
    <w:rsid w:val="00A55B3D"/>
    <w:rsid w:val="00A55F9D"/>
    <w:rsid w:val="00A56F4F"/>
    <w:rsid w:val="00A57528"/>
    <w:rsid w:val="00A601ED"/>
    <w:rsid w:val="00A605C6"/>
    <w:rsid w:val="00A618FD"/>
    <w:rsid w:val="00A62E56"/>
    <w:rsid w:val="00A648DB"/>
    <w:rsid w:val="00A653D3"/>
    <w:rsid w:val="00A6668C"/>
    <w:rsid w:val="00A70E5F"/>
    <w:rsid w:val="00A713E2"/>
    <w:rsid w:val="00A72B17"/>
    <w:rsid w:val="00A74CD4"/>
    <w:rsid w:val="00A74DE0"/>
    <w:rsid w:val="00A755BC"/>
    <w:rsid w:val="00A77BF4"/>
    <w:rsid w:val="00A83851"/>
    <w:rsid w:val="00A86096"/>
    <w:rsid w:val="00A86B4A"/>
    <w:rsid w:val="00A8729B"/>
    <w:rsid w:val="00A8789B"/>
    <w:rsid w:val="00A904B8"/>
    <w:rsid w:val="00A94553"/>
    <w:rsid w:val="00A960E9"/>
    <w:rsid w:val="00A96521"/>
    <w:rsid w:val="00A966E1"/>
    <w:rsid w:val="00A9728F"/>
    <w:rsid w:val="00A978F4"/>
    <w:rsid w:val="00A97979"/>
    <w:rsid w:val="00AA120A"/>
    <w:rsid w:val="00AA2946"/>
    <w:rsid w:val="00AA369A"/>
    <w:rsid w:val="00AA3938"/>
    <w:rsid w:val="00AA66AE"/>
    <w:rsid w:val="00AA66B0"/>
    <w:rsid w:val="00AA6986"/>
    <w:rsid w:val="00AB0810"/>
    <w:rsid w:val="00AB1754"/>
    <w:rsid w:val="00AB42B6"/>
    <w:rsid w:val="00AB5E02"/>
    <w:rsid w:val="00AC43AC"/>
    <w:rsid w:val="00AC4C92"/>
    <w:rsid w:val="00AC6426"/>
    <w:rsid w:val="00AC75D6"/>
    <w:rsid w:val="00AC791D"/>
    <w:rsid w:val="00AD03D4"/>
    <w:rsid w:val="00AD1CC6"/>
    <w:rsid w:val="00AD1EB5"/>
    <w:rsid w:val="00AD2F2F"/>
    <w:rsid w:val="00AD5121"/>
    <w:rsid w:val="00AD7D55"/>
    <w:rsid w:val="00AE1052"/>
    <w:rsid w:val="00AE1619"/>
    <w:rsid w:val="00AE3E39"/>
    <w:rsid w:val="00AE4748"/>
    <w:rsid w:val="00AE7FA4"/>
    <w:rsid w:val="00AF19E5"/>
    <w:rsid w:val="00AF235E"/>
    <w:rsid w:val="00AF273E"/>
    <w:rsid w:val="00AF2A07"/>
    <w:rsid w:val="00AF2AF5"/>
    <w:rsid w:val="00AF3E76"/>
    <w:rsid w:val="00AF3EF5"/>
    <w:rsid w:val="00AF4A08"/>
    <w:rsid w:val="00AF6827"/>
    <w:rsid w:val="00AF6B57"/>
    <w:rsid w:val="00AF6FE7"/>
    <w:rsid w:val="00AF7034"/>
    <w:rsid w:val="00AF7DD0"/>
    <w:rsid w:val="00B00046"/>
    <w:rsid w:val="00B0046B"/>
    <w:rsid w:val="00B00ECD"/>
    <w:rsid w:val="00B019A2"/>
    <w:rsid w:val="00B019B5"/>
    <w:rsid w:val="00B03F2B"/>
    <w:rsid w:val="00B06560"/>
    <w:rsid w:val="00B072A3"/>
    <w:rsid w:val="00B07A04"/>
    <w:rsid w:val="00B07C83"/>
    <w:rsid w:val="00B10815"/>
    <w:rsid w:val="00B10B67"/>
    <w:rsid w:val="00B11986"/>
    <w:rsid w:val="00B125CD"/>
    <w:rsid w:val="00B12F55"/>
    <w:rsid w:val="00B20053"/>
    <w:rsid w:val="00B21695"/>
    <w:rsid w:val="00B22283"/>
    <w:rsid w:val="00B22317"/>
    <w:rsid w:val="00B2340E"/>
    <w:rsid w:val="00B24187"/>
    <w:rsid w:val="00B314DA"/>
    <w:rsid w:val="00B318ED"/>
    <w:rsid w:val="00B31AD5"/>
    <w:rsid w:val="00B31C79"/>
    <w:rsid w:val="00B32A96"/>
    <w:rsid w:val="00B34AE5"/>
    <w:rsid w:val="00B35A97"/>
    <w:rsid w:val="00B35F69"/>
    <w:rsid w:val="00B362E8"/>
    <w:rsid w:val="00B36DEE"/>
    <w:rsid w:val="00B37411"/>
    <w:rsid w:val="00B40F36"/>
    <w:rsid w:val="00B41CDC"/>
    <w:rsid w:val="00B42B67"/>
    <w:rsid w:val="00B43948"/>
    <w:rsid w:val="00B4504C"/>
    <w:rsid w:val="00B466CE"/>
    <w:rsid w:val="00B469BE"/>
    <w:rsid w:val="00B47D5A"/>
    <w:rsid w:val="00B51932"/>
    <w:rsid w:val="00B520A1"/>
    <w:rsid w:val="00B53491"/>
    <w:rsid w:val="00B53FAC"/>
    <w:rsid w:val="00B552D4"/>
    <w:rsid w:val="00B55B55"/>
    <w:rsid w:val="00B57CCD"/>
    <w:rsid w:val="00B60454"/>
    <w:rsid w:val="00B6190C"/>
    <w:rsid w:val="00B66628"/>
    <w:rsid w:val="00B71BEA"/>
    <w:rsid w:val="00B71F9A"/>
    <w:rsid w:val="00B7234F"/>
    <w:rsid w:val="00B74872"/>
    <w:rsid w:val="00B7561B"/>
    <w:rsid w:val="00B75D82"/>
    <w:rsid w:val="00B7649B"/>
    <w:rsid w:val="00B77130"/>
    <w:rsid w:val="00B81051"/>
    <w:rsid w:val="00B811F0"/>
    <w:rsid w:val="00B81362"/>
    <w:rsid w:val="00B82939"/>
    <w:rsid w:val="00B82E95"/>
    <w:rsid w:val="00B83671"/>
    <w:rsid w:val="00B84552"/>
    <w:rsid w:val="00B85D7E"/>
    <w:rsid w:val="00B86DCB"/>
    <w:rsid w:val="00B872CB"/>
    <w:rsid w:val="00B902F5"/>
    <w:rsid w:val="00B90423"/>
    <w:rsid w:val="00B936E1"/>
    <w:rsid w:val="00B938F4"/>
    <w:rsid w:val="00B94E1C"/>
    <w:rsid w:val="00B95CBD"/>
    <w:rsid w:val="00B96B87"/>
    <w:rsid w:val="00B96E2F"/>
    <w:rsid w:val="00BA0B50"/>
    <w:rsid w:val="00BA260B"/>
    <w:rsid w:val="00BA3BF5"/>
    <w:rsid w:val="00BA4978"/>
    <w:rsid w:val="00BA69FD"/>
    <w:rsid w:val="00BB12F6"/>
    <w:rsid w:val="00BB16A5"/>
    <w:rsid w:val="00BB5DD1"/>
    <w:rsid w:val="00BB6746"/>
    <w:rsid w:val="00BB71FD"/>
    <w:rsid w:val="00BB7415"/>
    <w:rsid w:val="00BB7F6B"/>
    <w:rsid w:val="00BC3019"/>
    <w:rsid w:val="00BC4046"/>
    <w:rsid w:val="00BC561D"/>
    <w:rsid w:val="00BC58E7"/>
    <w:rsid w:val="00BC734A"/>
    <w:rsid w:val="00BD07CF"/>
    <w:rsid w:val="00BD0A44"/>
    <w:rsid w:val="00BD21A6"/>
    <w:rsid w:val="00BD4471"/>
    <w:rsid w:val="00BD5E7D"/>
    <w:rsid w:val="00BD79F5"/>
    <w:rsid w:val="00BE2FE3"/>
    <w:rsid w:val="00BE4274"/>
    <w:rsid w:val="00BE49ED"/>
    <w:rsid w:val="00BE4AD8"/>
    <w:rsid w:val="00BE5CED"/>
    <w:rsid w:val="00BE62CD"/>
    <w:rsid w:val="00BE678A"/>
    <w:rsid w:val="00BE7308"/>
    <w:rsid w:val="00BE7615"/>
    <w:rsid w:val="00BF0060"/>
    <w:rsid w:val="00BF11BF"/>
    <w:rsid w:val="00BF2918"/>
    <w:rsid w:val="00BF3B8F"/>
    <w:rsid w:val="00BF4736"/>
    <w:rsid w:val="00BF48C4"/>
    <w:rsid w:val="00BF5C3E"/>
    <w:rsid w:val="00BF5FDB"/>
    <w:rsid w:val="00C011CB"/>
    <w:rsid w:val="00C01C35"/>
    <w:rsid w:val="00C01E23"/>
    <w:rsid w:val="00C02715"/>
    <w:rsid w:val="00C02C93"/>
    <w:rsid w:val="00C03110"/>
    <w:rsid w:val="00C04062"/>
    <w:rsid w:val="00C06199"/>
    <w:rsid w:val="00C11AD0"/>
    <w:rsid w:val="00C13646"/>
    <w:rsid w:val="00C14BC0"/>
    <w:rsid w:val="00C20C75"/>
    <w:rsid w:val="00C222AE"/>
    <w:rsid w:val="00C23D24"/>
    <w:rsid w:val="00C24DE5"/>
    <w:rsid w:val="00C2592D"/>
    <w:rsid w:val="00C263FA"/>
    <w:rsid w:val="00C304D9"/>
    <w:rsid w:val="00C31279"/>
    <w:rsid w:val="00C32D74"/>
    <w:rsid w:val="00C34C89"/>
    <w:rsid w:val="00C3634B"/>
    <w:rsid w:val="00C36F65"/>
    <w:rsid w:val="00C4171A"/>
    <w:rsid w:val="00C43073"/>
    <w:rsid w:val="00C4471F"/>
    <w:rsid w:val="00C44B95"/>
    <w:rsid w:val="00C4501E"/>
    <w:rsid w:val="00C45A7B"/>
    <w:rsid w:val="00C4796E"/>
    <w:rsid w:val="00C50364"/>
    <w:rsid w:val="00C5067D"/>
    <w:rsid w:val="00C517EF"/>
    <w:rsid w:val="00C51CA8"/>
    <w:rsid w:val="00C525C4"/>
    <w:rsid w:val="00C530A2"/>
    <w:rsid w:val="00C550E8"/>
    <w:rsid w:val="00C608C0"/>
    <w:rsid w:val="00C656A9"/>
    <w:rsid w:val="00C65E18"/>
    <w:rsid w:val="00C66325"/>
    <w:rsid w:val="00C666B8"/>
    <w:rsid w:val="00C6692D"/>
    <w:rsid w:val="00C67047"/>
    <w:rsid w:val="00C67418"/>
    <w:rsid w:val="00C70924"/>
    <w:rsid w:val="00C715A6"/>
    <w:rsid w:val="00C71838"/>
    <w:rsid w:val="00C739B1"/>
    <w:rsid w:val="00C74621"/>
    <w:rsid w:val="00C76848"/>
    <w:rsid w:val="00C7783A"/>
    <w:rsid w:val="00C80E51"/>
    <w:rsid w:val="00C833E6"/>
    <w:rsid w:val="00C83797"/>
    <w:rsid w:val="00C8653A"/>
    <w:rsid w:val="00C87B5B"/>
    <w:rsid w:val="00C909AC"/>
    <w:rsid w:val="00C9320C"/>
    <w:rsid w:val="00C9356B"/>
    <w:rsid w:val="00C94458"/>
    <w:rsid w:val="00CA4406"/>
    <w:rsid w:val="00CB4F68"/>
    <w:rsid w:val="00CB5F04"/>
    <w:rsid w:val="00CC01BF"/>
    <w:rsid w:val="00CC4470"/>
    <w:rsid w:val="00CC574B"/>
    <w:rsid w:val="00CD0C2E"/>
    <w:rsid w:val="00CD11B8"/>
    <w:rsid w:val="00CD156D"/>
    <w:rsid w:val="00CD1D62"/>
    <w:rsid w:val="00CD3E3C"/>
    <w:rsid w:val="00CE0EAB"/>
    <w:rsid w:val="00CE136D"/>
    <w:rsid w:val="00CE1F44"/>
    <w:rsid w:val="00CE527E"/>
    <w:rsid w:val="00CE5692"/>
    <w:rsid w:val="00CE56DB"/>
    <w:rsid w:val="00CE6941"/>
    <w:rsid w:val="00CE7994"/>
    <w:rsid w:val="00CE7DC3"/>
    <w:rsid w:val="00CF0BE4"/>
    <w:rsid w:val="00CF18C0"/>
    <w:rsid w:val="00CF1B94"/>
    <w:rsid w:val="00CF1FB8"/>
    <w:rsid w:val="00CF4AF5"/>
    <w:rsid w:val="00CF6F92"/>
    <w:rsid w:val="00CF7578"/>
    <w:rsid w:val="00CF7A5A"/>
    <w:rsid w:val="00D00779"/>
    <w:rsid w:val="00D00E41"/>
    <w:rsid w:val="00D02BCE"/>
    <w:rsid w:val="00D03CE5"/>
    <w:rsid w:val="00D03D84"/>
    <w:rsid w:val="00D03E90"/>
    <w:rsid w:val="00D051A2"/>
    <w:rsid w:val="00D10C14"/>
    <w:rsid w:val="00D12020"/>
    <w:rsid w:val="00D13A46"/>
    <w:rsid w:val="00D14B13"/>
    <w:rsid w:val="00D23FF1"/>
    <w:rsid w:val="00D256E0"/>
    <w:rsid w:val="00D27099"/>
    <w:rsid w:val="00D327AE"/>
    <w:rsid w:val="00D327BE"/>
    <w:rsid w:val="00D32BE0"/>
    <w:rsid w:val="00D32CBE"/>
    <w:rsid w:val="00D338E9"/>
    <w:rsid w:val="00D33B5D"/>
    <w:rsid w:val="00D36BD2"/>
    <w:rsid w:val="00D42190"/>
    <w:rsid w:val="00D4303B"/>
    <w:rsid w:val="00D434E5"/>
    <w:rsid w:val="00D438A3"/>
    <w:rsid w:val="00D4400E"/>
    <w:rsid w:val="00D448D6"/>
    <w:rsid w:val="00D45DE6"/>
    <w:rsid w:val="00D46736"/>
    <w:rsid w:val="00D4728C"/>
    <w:rsid w:val="00D472A2"/>
    <w:rsid w:val="00D50A2C"/>
    <w:rsid w:val="00D570C7"/>
    <w:rsid w:val="00D570E6"/>
    <w:rsid w:val="00D57704"/>
    <w:rsid w:val="00D60039"/>
    <w:rsid w:val="00D6014C"/>
    <w:rsid w:val="00D6033C"/>
    <w:rsid w:val="00D604E4"/>
    <w:rsid w:val="00D63295"/>
    <w:rsid w:val="00D653D4"/>
    <w:rsid w:val="00D67DF3"/>
    <w:rsid w:val="00D7092A"/>
    <w:rsid w:val="00D7226B"/>
    <w:rsid w:val="00D72CDA"/>
    <w:rsid w:val="00D74A21"/>
    <w:rsid w:val="00D75FF6"/>
    <w:rsid w:val="00D767C8"/>
    <w:rsid w:val="00D76891"/>
    <w:rsid w:val="00D77369"/>
    <w:rsid w:val="00D7773E"/>
    <w:rsid w:val="00D802D5"/>
    <w:rsid w:val="00D82E8F"/>
    <w:rsid w:val="00D83B5A"/>
    <w:rsid w:val="00D847FA"/>
    <w:rsid w:val="00D851F0"/>
    <w:rsid w:val="00D85410"/>
    <w:rsid w:val="00D85683"/>
    <w:rsid w:val="00D9036E"/>
    <w:rsid w:val="00D909FC"/>
    <w:rsid w:val="00D90C9D"/>
    <w:rsid w:val="00D918F7"/>
    <w:rsid w:val="00D95A1C"/>
    <w:rsid w:val="00D97D16"/>
    <w:rsid w:val="00DA1883"/>
    <w:rsid w:val="00DA3500"/>
    <w:rsid w:val="00DA3D85"/>
    <w:rsid w:val="00DA4722"/>
    <w:rsid w:val="00DA4A7F"/>
    <w:rsid w:val="00DA7B93"/>
    <w:rsid w:val="00DB077A"/>
    <w:rsid w:val="00DB0859"/>
    <w:rsid w:val="00DB1760"/>
    <w:rsid w:val="00DB21EE"/>
    <w:rsid w:val="00DB25EB"/>
    <w:rsid w:val="00DB2812"/>
    <w:rsid w:val="00DB45E9"/>
    <w:rsid w:val="00DB6AA5"/>
    <w:rsid w:val="00DB6ED3"/>
    <w:rsid w:val="00DC1FDC"/>
    <w:rsid w:val="00DC2F8C"/>
    <w:rsid w:val="00DC40C0"/>
    <w:rsid w:val="00DC5D09"/>
    <w:rsid w:val="00DC6E39"/>
    <w:rsid w:val="00DD0D6A"/>
    <w:rsid w:val="00DD2728"/>
    <w:rsid w:val="00DD2A47"/>
    <w:rsid w:val="00DD3935"/>
    <w:rsid w:val="00DD3EC2"/>
    <w:rsid w:val="00DD78E9"/>
    <w:rsid w:val="00DE0093"/>
    <w:rsid w:val="00DE04C7"/>
    <w:rsid w:val="00DE3762"/>
    <w:rsid w:val="00DE6D23"/>
    <w:rsid w:val="00DF0820"/>
    <w:rsid w:val="00DF28D3"/>
    <w:rsid w:val="00DF79B3"/>
    <w:rsid w:val="00E02249"/>
    <w:rsid w:val="00E05BF7"/>
    <w:rsid w:val="00E05DB9"/>
    <w:rsid w:val="00E06D55"/>
    <w:rsid w:val="00E10779"/>
    <w:rsid w:val="00E10A31"/>
    <w:rsid w:val="00E128DC"/>
    <w:rsid w:val="00E12BBF"/>
    <w:rsid w:val="00E15A1C"/>
    <w:rsid w:val="00E16096"/>
    <w:rsid w:val="00E16AD8"/>
    <w:rsid w:val="00E22906"/>
    <w:rsid w:val="00E2381F"/>
    <w:rsid w:val="00E24FB3"/>
    <w:rsid w:val="00E26629"/>
    <w:rsid w:val="00E30BC2"/>
    <w:rsid w:val="00E31905"/>
    <w:rsid w:val="00E31BBC"/>
    <w:rsid w:val="00E3296E"/>
    <w:rsid w:val="00E367D9"/>
    <w:rsid w:val="00E36DBC"/>
    <w:rsid w:val="00E374B3"/>
    <w:rsid w:val="00E43BFE"/>
    <w:rsid w:val="00E44475"/>
    <w:rsid w:val="00E46922"/>
    <w:rsid w:val="00E47AE4"/>
    <w:rsid w:val="00E51530"/>
    <w:rsid w:val="00E539FC"/>
    <w:rsid w:val="00E545C8"/>
    <w:rsid w:val="00E54BC0"/>
    <w:rsid w:val="00E54E11"/>
    <w:rsid w:val="00E54E3E"/>
    <w:rsid w:val="00E55276"/>
    <w:rsid w:val="00E5559E"/>
    <w:rsid w:val="00E55830"/>
    <w:rsid w:val="00E62028"/>
    <w:rsid w:val="00E62488"/>
    <w:rsid w:val="00E62D55"/>
    <w:rsid w:val="00E634AE"/>
    <w:rsid w:val="00E637C7"/>
    <w:rsid w:val="00E66838"/>
    <w:rsid w:val="00E66D91"/>
    <w:rsid w:val="00E67713"/>
    <w:rsid w:val="00E71772"/>
    <w:rsid w:val="00E719C6"/>
    <w:rsid w:val="00E72DB0"/>
    <w:rsid w:val="00E72F38"/>
    <w:rsid w:val="00E73BE9"/>
    <w:rsid w:val="00E769B6"/>
    <w:rsid w:val="00E77F84"/>
    <w:rsid w:val="00E82E7C"/>
    <w:rsid w:val="00E83E01"/>
    <w:rsid w:val="00E84D6F"/>
    <w:rsid w:val="00E85938"/>
    <w:rsid w:val="00E85E42"/>
    <w:rsid w:val="00E860D2"/>
    <w:rsid w:val="00E86298"/>
    <w:rsid w:val="00E863A7"/>
    <w:rsid w:val="00E864F2"/>
    <w:rsid w:val="00E86C3A"/>
    <w:rsid w:val="00E9142B"/>
    <w:rsid w:val="00E91939"/>
    <w:rsid w:val="00E94090"/>
    <w:rsid w:val="00E9416C"/>
    <w:rsid w:val="00E95A4A"/>
    <w:rsid w:val="00E96F90"/>
    <w:rsid w:val="00E971F1"/>
    <w:rsid w:val="00E97A2C"/>
    <w:rsid w:val="00EA3ECF"/>
    <w:rsid w:val="00EA40E2"/>
    <w:rsid w:val="00EA55A3"/>
    <w:rsid w:val="00EA7688"/>
    <w:rsid w:val="00EA7777"/>
    <w:rsid w:val="00EA7E53"/>
    <w:rsid w:val="00EB5437"/>
    <w:rsid w:val="00EB6BD2"/>
    <w:rsid w:val="00EB7C8F"/>
    <w:rsid w:val="00EC0E52"/>
    <w:rsid w:val="00EC3340"/>
    <w:rsid w:val="00EC36C8"/>
    <w:rsid w:val="00EC4407"/>
    <w:rsid w:val="00EC4BD0"/>
    <w:rsid w:val="00EC5933"/>
    <w:rsid w:val="00EC6954"/>
    <w:rsid w:val="00EC7251"/>
    <w:rsid w:val="00EC7BEE"/>
    <w:rsid w:val="00ED05DF"/>
    <w:rsid w:val="00ED182D"/>
    <w:rsid w:val="00ED4B07"/>
    <w:rsid w:val="00ED5FA9"/>
    <w:rsid w:val="00EE29CB"/>
    <w:rsid w:val="00EE4AFE"/>
    <w:rsid w:val="00EE53BB"/>
    <w:rsid w:val="00EE6F2E"/>
    <w:rsid w:val="00EF2B7B"/>
    <w:rsid w:val="00EF3264"/>
    <w:rsid w:val="00EF5CBF"/>
    <w:rsid w:val="00EF6D90"/>
    <w:rsid w:val="00F00244"/>
    <w:rsid w:val="00F004B2"/>
    <w:rsid w:val="00F00A91"/>
    <w:rsid w:val="00F01543"/>
    <w:rsid w:val="00F01C0A"/>
    <w:rsid w:val="00F0243D"/>
    <w:rsid w:val="00F043BB"/>
    <w:rsid w:val="00F04A89"/>
    <w:rsid w:val="00F10356"/>
    <w:rsid w:val="00F11B3E"/>
    <w:rsid w:val="00F11FA9"/>
    <w:rsid w:val="00F122FF"/>
    <w:rsid w:val="00F12F8E"/>
    <w:rsid w:val="00F130A2"/>
    <w:rsid w:val="00F131BD"/>
    <w:rsid w:val="00F139F1"/>
    <w:rsid w:val="00F13B1E"/>
    <w:rsid w:val="00F13B28"/>
    <w:rsid w:val="00F15414"/>
    <w:rsid w:val="00F167AC"/>
    <w:rsid w:val="00F169F0"/>
    <w:rsid w:val="00F1779C"/>
    <w:rsid w:val="00F23CA3"/>
    <w:rsid w:val="00F23D1B"/>
    <w:rsid w:val="00F24BE4"/>
    <w:rsid w:val="00F262E4"/>
    <w:rsid w:val="00F271A1"/>
    <w:rsid w:val="00F30828"/>
    <w:rsid w:val="00F30D99"/>
    <w:rsid w:val="00F3132D"/>
    <w:rsid w:val="00F32A58"/>
    <w:rsid w:val="00F32AEF"/>
    <w:rsid w:val="00F34B65"/>
    <w:rsid w:val="00F372DE"/>
    <w:rsid w:val="00F4051E"/>
    <w:rsid w:val="00F41425"/>
    <w:rsid w:val="00F438A7"/>
    <w:rsid w:val="00F45488"/>
    <w:rsid w:val="00F46860"/>
    <w:rsid w:val="00F556C6"/>
    <w:rsid w:val="00F56EBD"/>
    <w:rsid w:val="00F57323"/>
    <w:rsid w:val="00F57D89"/>
    <w:rsid w:val="00F6057E"/>
    <w:rsid w:val="00F617B5"/>
    <w:rsid w:val="00F61A8B"/>
    <w:rsid w:val="00F62CBD"/>
    <w:rsid w:val="00F648FF"/>
    <w:rsid w:val="00F659CD"/>
    <w:rsid w:val="00F66408"/>
    <w:rsid w:val="00F669DF"/>
    <w:rsid w:val="00F714B3"/>
    <w:rsid w:val="00F71B85"/>
    <w:rsid w:val="00F7287E"/>
    <w:rsid w:val="00F72BCB"/>
    <w:rsid w:val="00F74E14"/>
    <w:rsid w:val="00F7547E"/>
    <w:rsid w:val="00F7601F"/>
    <w:rsid w:val="00F77569"/>
    <w:rsid w:val="00F80B51"/>
    <w:rsid w:val="00F80CA2"/>
    <w:rsid w:val="00F82B75"/>
    <w:rsid w:val="00F8338C"/>
    <w:rsid w:val="00F84140"/>
    <w:rsid w:val="00F85A84"/>
    <w:rsid w:val="00F87BCD"/>
    <w:rsid w:val="00F9090C"/>
    <w:rsid w:val="00F924B8"/>
    <w:rsid w:val="00F940F2"/>
    <w:rsid w:val="00F9542C"/>
    <w:rsid w:val="00F95741"/>
    <w:rsid w:val="00F95B3F"/>
    <w:rsid w:val="00F95CFE"/>
    <w:rsid w:val="00FA2564"/>
    <w:rsid w:val="00FA5C0E"/>
    <w:rsid w:val="00FA5E2C"/>
    <w:rsid w:val="00FA6810"/>
    <w:rsid w:val="00FA7D77"/>
    <w:rsid w:val="00FB2157"/>
    <w:rsid w:val="00FB2B69"/>
    <w:rsid w:val="00FB2C18"/>
    <w:rsid w:val="00FB45E9"/>
    <w:rsid w:val="00FB57B2"/>
    <w:rsid w:val="00FC1077"/>
    <w:rsid w:val="00FC16D3"/>
    <w:rsid w:val="00FC2BE8"/>
    <w:rsid w:val="00FC3088"/>
    <w:rsid w:val="00FC368B"/>
    <w:rsid w:val="00FC532D"/>
    <w:rsid w:val="00FD09D2"/>
    <w:rsid w:val="00FD0BC7"/>
    <w:rsid w:val="00FD22C4"/>
    <w:rsid w:val="00FD2883"/>
    <w:rsid w:val="00FD4141"/>
    <w:rsid w:val="00FD43EA"/>
    <w:rsid w:val="00FD47B3"/>
    <w:rsid w:val="00FD575D"/>
    <w:rsid w:val="00FE4E49"/>
    <w:rsid w:val="00FE5449"/>
    <w:rsid w:val="00FE5C59"/>
    <w:rsid w:val="00FF1083"/>
    <w:rsid w:val="00FF2F22"/>
    <w:rsid w:val="00FF5AA9"/>
    <w:rsid w:val="00FF5DA6"/>
    <w:rsid w:val="00FF6DD2"/>
    <w:rsid w:val="00FF772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DA59"/>
  <w15:docId w15:val="{31FCBA60-FF24-49CE-81B0-A880D57D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E6"/>
    <w:rPr>
      <w:rFonts w:ascii="Times New Roman" w:eastAsia="Times New Roman" w:hAnsi="Times New Roman" w:cs="Times New Roman"/>
    </w:rPr>
  </w:style>
  <w:style w:type="paragraph" w:styleId="Heading1">
    <w:name w:val="heading 1"/>
    <w:basedOn w:val="Normal"/>
    <w:next w:val="Normal"/>
    <w:link w:val="Heading1Char"/>
    <w:uiPriority w:val="9"/>
    <w:qFormat/>
    <w:rsid w:val="005E1A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202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202C7"/>
    <w:pPr>
      <w:spacing w:before="100" w:beforeAutospacing="1" w:after="100" w:afterAutospacing="1"/>
      <w:outlineLvl w:val="3"/>
    </w:pPr>
    <w:rPr>
      <w:b/>
      <w:bCs/>
    </w:rPr>
  </w:style>
  <w:style w:type="paragraph" w:styleId="Heading5">
    <w:name w:val="heading 5"/>
    <w:basedOn w:val="Normal"/>
    <w:link w:val="Heading5Char"/>
    <w:uiPriority w:val="9"/>
    <w:qFormat/>
    <w:rsid w:val="002202C7"/>
    <w:pPr>
      <w:spacing w:before="100" w:beforeAutospacing="1" w:after="100" w:afterAutospacing="1"/>
      <w:outlineLvl w:val="4"/>
    </w:pPr>
    <w:rPr>
      <w:b/>
      <w:bCs/>
      <w:sz w:val="20"/>
      <w:szCs w:val="20"/>
    </w:rPr>
  </w:style>
  <w:style w:type="paragraph" w:styleId="Heading6">
    <w:name w:val="heading 6"/>
    <w:basedOn w:val="Normal"/>
    <w:next w:val="Normal"/>
    <w:link w:val="Heading6Char"/>
    <w:uiPriority w:val="9"/>
    <w:semiHidden/>
    <w:unhideWhenUsed/>
    <w:qFormat/>
    <w:rsid w:val="0073731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40E"/>
    <w:pPr>
      <w:spacing w:before="100" w:beforeAutospacing="1" w:after="100" w:afterAutospacing="1"/>
    </w:pPr>
  </w:style>
  <w:style w:type="character" w:customStyle="1" w:styleId="apple-converted-space">
    <w:name w:val="apple-converted-space"/>
    <w:basedOn w:val="DefaultParagraphFont"/>
    <w:rsid w:val="00B2340E"/>
  </w:style>
  <w:style w:type="paragraph" w:styleId="BalloonText">
    <w:name w:val="Balloon Text"/>
    <w:basedOn w:val="Normal"/>
    <w:link w:val="BalloonTextChar"/>
    <w:uiPriority w:val="99"/>
    <w:semiHidden/>
    <w:unhideWhenUsed/>
    <w:rsid w:val="00C656A9"/>
    <w:rPr>
      <w:rFonts w:eastAsiaTheme="minorHAnsi"/>
      <w:sz w:val="18"/>
      <w:szCs w:val="18"/>
    </w:rPr>
  </w:style>
  <w:style w:type="character" w:customStyle="1" w:styleId="BalloonTextChar">
    <w:name w:val="Balloon Text Char"/>
    <w:basedOn w:val="DefaultParagraphFont"/>
    <w:link w:val="BalloonText"/>
    <w:uiPriority w:val="99"/>
    <w:semiHidden/>
    <w:rsid w:val="00C656A9"/>
    <w:rPr>
      <w:rFonts w:ascii="Times New Roman" w:hAnsi="Times New Roman" w:cs="Times New Roman"/>
      <w:sz w:val="18"/>
      <w:szCs w:val="18"/>
    </w:rPr>
  </w:style>
  <w:style w:type="paragraph" w:styleId="FootnoteText">
    <w:name w:val="footnote text"/>
    <w:basedOn w:val="Normal"/>
    <w:link w:val="FootnoteTextChar"/>
    <w:uiPriority w:val="99"/>
    <w:unhideWhenUsed/>
    <w:rsid w:val="003F245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F245A"/>
    <w:rPr>
      <w:sz w:val="20"/>
      <w:szCs w:val="20"/>
    </w:rPr>
  </w:style>
  <w:style w:type="character" w:styleId="FootnoteReference">
    <w:name w:val="footnote reference"/>
    <w:basedOn w:val="DefaultParagraphFont"/>
    <w:uiPriority w:val="99"/>
    <w:semiHidden/>
    <w:unhideWhenUsed/>
    <w:rsid w:val="003F245A"/>
    <w:rPr>
      <w:vertAlign w:val="superscript"/>
    </w:rPr>
  </w:style>
  <w:style w:type="paragraph" w:styleId="Footer">
    <w:name w:val="footer"/>
    <w:basedOn w:val="Normal"/>
    <w:link w:val="FooterChar"/>
    <w:uiPriority w:val="99"/>
    <w:unhideWhenUsed/>
    <w:rsid w:val="004061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6153"/>
  </w:style>
  <w:style w:type="character" w:styleId="PageNumber">
    <w:name w:val="page number"/>
    <w:basedOn w:val="DefaultParagraphFont"/>
    <w:uiPriority w:val="99"/>
    <w:semiHidden/>
    <w:unhideWhenUsed/>
    <w:rsid w:val="00406153"/>
  </w:style>
  <w:style w:type="paragraph" w:styleId="Header">
    <w:name w:val="header"/>
    <w:basedOn w:val="Normal"/>
    <w:link w:val="HeaderChar"/>
    <w:uiPriority w:val="99"/>
    <w:unhideWhenUsed/>
    <w:rsid w:val="0040615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153"/>
  </w:style>
  <w:style w:type="paragraph" w:styleId="ListParagraph">
    <w:name w:val="List Paragraph"/>
    <w:basedOn w:val="Normal"/>
    <w:uiPriority w:val="34"/>
    <w:qFormat/>
    <w:rsid w:val="00BC58E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84D98"/>
    <w:rPr>
      <w:color w:val="0000FF"/>
      <w:u w:val="single"/>
    </w:rPr>
  </w:style>
  <w:style w:type="character" w:customStyle="1" w:styleId="Heading3Char">
    <w:name w:val="Heading 3 Char"/>
    <w:basedOn w:val="DefaultParagraphFont"/>
    <w:link w:val="Heading3"/>
    <w:uiPriority w:val="9"/>
    <w:rsid w:val="002202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02C7"/>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2202C7"/>
    <w:rPr>
      <w:rFonts w:ascii="Times New Roman" w:eastAsia="Times New Roman" w:hAnsi="Times New Roman" w:cs="Times New Roman"/>
      <w:b/>
      <w:bCs/>
      <w:sz w:val="20"/>
      <w:szCs w:val="20"/>
    </w:rPr>
  </w:style>
  <w:style w:type="paragraph" w:styleId="Revision">
    <w:name w:val="Revision"/>
    <w:hidden/>
    <w:uiPriority w:val="99"/>
    <w:semiHidden/>
    <w:rsid w:val="00E66D91"/>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737319"/>
    <w:rPr>
      <w:rFonts w:asciiTheme="majorHAnsi" w:eastAsiaTheme="majorEastAsia" w:hAnsiTheme="majorHAnsi" w:cstheme="majorBidi"/>
      <w:color w:val="1F3763" w:themeColor="accent1" w:themeShade="7F"/>
    </w:rPr>
  </w:style>
  <w:style w:type="character" w:customStyle="1" w:styleId="UnresolvedMention1">
    <w:name w:val="Unresolved Mention1"/>
    <w:basedOn w:val="DefaultParagraphFont"/>
    <w:uiPriority w:val="99"/>
    <w:semiHidden/>
    <w:unhideWhenUsed/>
    <w:rsid w:val="00C43073"/>
    <w:rPr>
      <w:color w:val="605E5C"/>
      <w:shd w:val="clear" w:color="auto" w:fill="E1DFDD"/>
    </w:rPr>
  </w:style>
  <w:style w:type="character" w:styleId="Strong">
    <w:name w:val="Strong"/>
    <w:basedOn w:val="DefaultParagraphFont"/>
    <w:uiPriority w:val="22"/>
    <w:qFormat/>
    <w:rsid w:val="00F13B28"/>
    <w:rPr>
      <w:b/>
      <w:bCs/>
    </w:rPr>
  </w:style>
  <w:style w:type="character" w:styleId="FollowedHyperlink">
    <w:name w:val="FollowedHyperlink"/>
    <w:basedOn w:val="DefaultParagraphFont"/>
    <w:uiPriority w:val="99"/>
    <w:semiHidden/>
    <w:unhideWhenUsed/>
    <w:rsid w:val="00A5582E"/>
    <w:rPr>
      <w:color w:val="954F72" w:themeColor="followedHyperlink"/>
      <w:u w:val="single"/>
    </w:rPr>
  </w:style>
  <w:style w:type="paragraph" w:customStyle="1" w:styleId="CenterText">
    <w:name w:val="CenterText"/>
    <w:qFormat/>
    <w:rsid w:val="00D338E9"/>
    <w:pPr>
      <w:jc w:val="center"/>
    </w:pPr>
    <w:rPr>
      <w:rFonts w:ascii="Times New Roman" w:hAnsi="Times New Roman" w:cs="Times New Roman"/>
      <w:spacing w:val="20"/>
      <w:szCs w:val="28"/>
    </w:rPr>
  </w:style>
  <w:style w:type="table" w:styleId="TableGrid">
    <w:name w:val="Table Grid"/>
    <w:basedOn w:val="TableNormal"/>
    <w:uiPriority w:val="39"/>
    <w:rsid w:val="00D338E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01E"/>
    <w:rPr>
      <w:sz w:val="16"/>
      <w:szCs w:val="16"/>
    </w:rPr>
  </w:style>
  <w:style w:type="paragraph" w:styleId="CommentText">
    <w:name w:val="annotation text"/>
    <w:basedOn w:val="Normal"/>
    <w:link w:val="CommentTextChar"/>
    <w:uiPriority w:val="99"/>
    <w:semiHidden/>
    <w:unhideWhenUsed/>
    <w:rsid w:val="00C4501E"/>
    <w:rPr>
      <w:sz w:val="20"/>
      <w:szCs w:val="20"/>
    </w:rPr>
  </w:style>
  <w:style w:type="character" w:customStyle="1" w:styleId="CommentTextChar">
    <w:name w:val="Comment Text Char"/>
    <w:basedOn w:val="DefaultParagraphFont"/>
    <w:link w:val="CommentText"/>
    <w:uiPriority w:val="99"/>
    <w:semiHidden/>
    <w:rsid w:val="00C45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501E"/>
    <w:rPr>
      <w:b/>
      <w:bCs/>
    </w:rPr>
  </w:style>
  <w:style w:type="character" w:customStyle="1" w:styleId="CommentSubjectChar">
    <w:name w:val="Comment Subject Char"/>
    <w:basedOn w:val="CommentTextChar"/>
    <w:link w:val="CommentSubject"/>
    <w:uiPriority w:val="99"/>
    <w:semiHidden/>
    <w:rsid w:val="00C4501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E1AE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
    <w:qFormat/>
    <w:rsid w:val="001E137B"/>
    <w:pPr>
      <w:autoSpaceDE w:val="0"/>
      <w:autoSpaceDN w:val="0"/>
      <w:adjustRightInd w:val="0"/>
      <w:ind w:left="5388"/>
    </w:pPr>
    <w:rPr>
      <w:rFonts w:eastAsiaTheme="minorHAnsi"/>
    </w:rPr>
  </w:style>
  <w:style w:type="character" w:customStyle="1" w:styleId="TitleChar">
    <w:name w:val="Title Char"/>
    <w:basedOn w:val="DefaultParagraphFont"/>
    <w:link w:val="Title"/>
    <w:uiPriority w:val="1"/>
    <w:rsid w:val="001E137B"/>
    <w:rPr>
      <w:rFonts w:ascii="Times New Roman" w:hAnsi="Times New Roman" w:cs="Times New Roman"/>
    </w:rPr>
  </w:style>
  <w:style w:type="paragraph" w:customStyle="1" w:styleId="Default">
    <w:name w:val="Default"/>
    <w:rsid w:val="001E137B"/>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EB6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5271">
      <w:bodyDiv w:val="1"/>
      <w:marLeft w:val="0"/>
      <w:marRight w:val="0"/>
      <w:marTop w:val="0"/>
      <w:marBottom w:val="0"/>
      <w:divBdr>
        <w:top w:val="none" w:sz="0" w:space="0" w:color="auto"/>
        <w:left w:val="none" w:sz="0" w:space="0" w:color="auto"/>
        <w:bottom w:val="none" w:sz="0" w:space="0" w:color="auto"/>
        <w:right w:val="none" w:sz="0" w:space="0" w:color="auto"/>
      </w:divBdr>
    </w:div>
    <w:div w:id="391200245">
      <w:bodyDiv w:val="1"/>
      <w:marLeft w:val="0"/>
      <w:marRight w:val="0"/>
      <w:marTop w:val="0"/>
      <w:marBottom w:val="0"/>
      <w:divBdr>
        <w:top w:val="none" w:sz="0" w:space="0" w:color="auto"/>
        <w:left w:val="none" w:sz="0" w:space="0" w:color="auto"/>
        <w:bottom w:val="none" w:sz="0" w:space="0" w:color="auto"/>
        <w:right w:val="none" w:sz="0" w:space="0" w:color="auto"/>
      </w:divBdr>
    </w:div>
    <w:div w:id="592856362">
      <w:bodyDiv w:val="1"/>
      <w:marLeft w:val="0"/>
      <w:marRight w:val="0"/>
      <w:marTop w:val="0"/>
      <w:marBottom w:val="0"/>
      <w:divBdr>
        <w:top w:val="none" w:sz="0" w:space="0" w:color="auto"/>
        <w:left w:val="none" w:sz="0" w:space="0" w:color="auto"/>
        <w:bottom w:val="none" w:sz="0" w:space="0" w:color="auto"/>
        <w:right w:val="none" w:sz="0" w:space="0" w:color="auto"/>
      </w:divBdr>
    </w:div>
    <w:div w:id="775173194">
      <w:bodyDiv w:val="1"/>
      <w:marLeft w:val="0"/>
      <w:marRight w:val="0"/>
      <w:marTop w:val="0"/>
      <w:marBottom w:val="0"/>
      <w:divBdr>
        <w:top w:val="none" w:sz="0" w:space="0" w:color="auto"/>
        <w:left w:val="none" w:sz="0" w:space="0" w:color="auto"/>
        <w:bottom w:val="none" w:sz="0" w:space="0" w:color="auto"/>
        <w:right w:val="none" w:sz="0" w:space="0" w:color="auto"/>
      </w:divBdr>
    </w:div>
    <w:div w:id="997542554">
      <w:bodyDiv w:val="1"/>
      <w:marLeft w:val="0"/>
      <w:marRight w:val="0"/>
      <w:marTop w:val="0"/>
      <w:marBottom w:val="0"/>
      <w:divBdr>
        <w:top w:val="none" w:sz="0" w:space="0" w:color="auto"/>
        <w:left w:val="none" w:sz="0" w:space="0" w:color="auto"/>
        <w:bottom w:val="none" w:sz="0" w:space="0" w:color="auto"/>
        <w:right w:val="none" w:sz="0" w:space="0" w:color="auto"/>
      </w:divBdr>
    </w:div>
    <w:div w:id="1570578529">
      <w:bodyDiv w:val="1"/>
      <w:marLeft w:val="0"/>
      <w:marRight w:val="0"/>
      <w:marTop w:val="0"/>
      <w:marBottom w:val="0"/>
      <w:divBdr>
        <w:top w:val="none" w:sz="0" w:space="0" w:color="auto"/>
        <w:left w:val="none" w:sz="0" w:space="0" w:color="auto"/>
        <w:bottom w:val="none" w:sz="0" w:space="0" w:color="auto"/>
        <w:right w:val="none" w:sz="0" w:space="0" w:color="auto"/>
      </w:divBdr>
    </w:div>
    <w:div w:id="1631277851">
      <w:bodyDiv w:val="1"/>
      <w:marLeft w:val="0"/>
      <w:marRight w:val="0"/>
      <w:marTop w:val="0"/>
      <w:marBottom w:val="0"/>
      <w:divBdr>
        <w:top w:val="none" w:sz="0" w:space="0" w:color="auto"/>
        <w:left w:val="none" w:sz="0" w:space="0" w:color="auto"/>
        <w:bottom w:val="none" w:sz="0" w:space="0" w:color="auto"/>
        <w:right w:val="none" w:sz="0" w:space="0" w:color="auto"/>
      </w:divBdr>
    </w:div>
    <w:div w:id="1863395938">
      <w:bodyDiv w:val="1"/>
      <w:marLeft w:val="0"/>
      <w:marRight w:val="0"/>
      <w:marTop w:val="0"/>
      <w:marBottom w:val="0"/>
      <w:divBdr>
        <w:top w:val="none" w:sz="0" w:space="0" w:color="auto"/>
        <w:left w:val="none" w:sz="0" w:space="0" w:color="auto"/>
        <w:bottom w:val="none" w:sz="0" w:space="0" w:color="auto"/>
        <w:right w:val="none" w:sz="0" w:space="0" w:color="auto"/>
      </w:divBdr>
    </w:div>
    <w:div w:id="1882788919">
      <w:bodyDiv w:val="1"/>
      <w:marLeft w:val="0"/>
      <w:marRight w:val="0"/>
      <w:marTop w:val="0"/>
      <w:marBottom w:val="0"/>
      <w:divBdr>
        <w:top w:val="none" w:sz="0" w:space="0" w:color="auto"/>
        <w:left w:val="none" w:sz="0" w:space="0" w:color="auto"/>
        <w:bottom w:val="none" w:sz="0" w:space="0" w:color="auto"/>
        <w:right w:val="none" w:sz="0" w:space="0" w:color="auto"/>
      </w:divBdr>
    </w:div>
    <w:div w:id="1917394951">
      <w:bodyDiv w:val="1"/>
      <w:marLeft w:val="0"/>
      <w:marRight w:val="0"/>
      <w:marTop w:val="0"/>
      <w:marBottom w:val="0"/>
      <w:divBdr>
        <w:top w:val="none" w:sz="0" w:space="0" w:color="auto"/>
        <w:left w:val="none" w:sz="0" w:space="0" w:color="auto"/>
        <w:bottom w:val="none" w:sz="0" w:space="0" w:color="auto"/>
        <w:right w:val="none" w:sz="0" w:space="0" w:color="auto"/>
      </w:divBdr>
    </w:div>
    <w:div w:id="2012101043">
      <w:bodyDiv w:val="1"/>
      <w:marLeft w:val="0"/>
      <w:marRight w:val="0"/>
      <w:marTop w:val="0"/>
      <w:marBottom w:val="0"/>
      <w:divBdr>
        <w:top w:val="none" w:sz="0" w:space="0" w:color="auto"/>
        <w:left w:val="none" w:sz="0" w:space="0" w:color="auto"/>
        <w:bottom w:val="none" w:sz="0" w:space="0" w:color="auto"/>
        <w:right w:val="none" w:sz="0" w:space="0" w:color="auto"/>
      </w:divBdr>
    </w:div>
    <w:div w:id="2107001022">
      <w:bodyDiv w:val="1"/>
      <w:marLeft w:val="0"/>
      <w:marRight w:val="0"/>
      <w:marTop w:val="0"/>
      <w:marBottom w:val="0"/>
      <w:divBdr>
        <w:top w:val="none" w:sz="0" w:space="0" w:color="auto"/>
        <w:left w:val="none" w:sz="0" w:space="0" w:color="auto"/>
        <w:bottom w:val="none" w:sz="0" w:space="0" w:color="auto"/>
        <w:right w:val="none" w:sz="0" w:space="0" w:color="auto"/>
      </w:divBdr>
      <w:divsChild>
        <w:div w:id="244917614">
          <w:marLeft w:val="0"/>
          <w:marRight w:val="0"/>
          <w:marTop w:val="0"/>
          <w:marBottom w:val="0"/>
          <w:divBdr>
            <w:top w:val="none" w:sz="0" w:space="0" w:color="auto"/>
            <w:left w:val="none" w:sz="0" w:space="0" w:color="auto"/>
            <w:bottom w:val="none" w:sz="0" w:space="0" w:color="auto"/>
            <w:right w:val="none" w:sz="0" w:space="0" w:color="auto"/>
          </w:divBdr>
          <w:divsChild>
            <w:div w:id="1181354625">
              <w:marLeft w:val="0"/>
              <w:marRight w:val="0"/>
              <w:marTop w:val="0"/>
              <w:marBottom w:val="0"/>
              <w:divBdr>
                <w:top w:val="none" w:sz="0" w:space="0" w:color="auto"/>
                <w:left w:val="none" w:sz="0" w:space="0" w:color="auto"/>
                <w:bottom w:val="none" w:sz="0" w:space="0" w:color="auto"/>
                <w:right w:val="none" w:sz="0" w:space="0" w:color="auto"/>
              </w:divBdr>
              <w:divsChild>
                <w:div w:id="904728769">
                  <w:marLeft w:val="0"/>
                  <w:marRight w:val="0"/>
                  <w:marTop w:val="0"/>
                  <w:marBottom w:val="0"/>
                  <w:divBdr>
                    <w:top w:val="none" w:sz="0" w:space="0" w:color="auto"/>
                    <w:left w:val="none" w:sz="0" w:space="0" w:color="auto"/>
                    <w:bottom w:val="none" w:sz="0" w:space="0" w:color="auto"/>
                    <w:right w:val="none" w:sz="0" w:space="0" w:color="auto"/>
                  </w:divBdr>
                  <w:divsChild>
                    <w:div w:id="1666201165">
                      <w:marLeft w:val="0"/>
                      <w:marRight w:val="0"/>
                      <w:marTop w:val="0"/>
                      <w:marBottom w:val="0"/>
                      <w:divBdr>
                        <w:top w:val="none" w:sz="0" w:space="0" w:color="auto"/>
                        <w:left w:val="none" w:sz="0" w:space="0" w:color="auto"/>
                        <w:bottom w:val="none" w:sz="0" w:space="0" w:color="auto"/>
                        <w:right w:val="none" w:sz="0" w:space="0" w:color="auto"/>
                      </w:divBdr>
                      <w:divsChild>
                        <w:div w:id="382295509">
                          <w:marLeft w:val="0"/>
                          <w:marRight w:val="0"/>
                          <w:marTop w:val="0"/>
                          <w:marBottom w:val="0"/>
                          <w:divBdr>
                            <w:top w:val="none" w:sz="0" w:space="0" w:color="auto"/>
                            <w:left w:val="none" w:sz="0" w:space="0" w:color="auto"/>
                            <w:bottom w:val="none" w:sz="0" w:space="0" w:color="auto"/>
                            <w:right w:val="none" w:sz="0" w:space="0" w:color="auto"/>
                          </w:divBdr>
                          <w:divsChild>
                            <w:div w:id="607196132">
                              <w:marLeft w:val="0"/>
                              <w:marRight w:val="0"/>
                              <w:marTop w:val="0"/>
                              <w:marBottom w:val="0"/>
                              <w:divBdr>
                                <w:top w:val="none" w:sz="0" w:space="0" w:color="auto"/>
                                <w:left w:val="none" w:sz="0" w:space="0" w:color="auto"/>
                                <w:bottom w:val="none" w:sz="0" w:space="0" w:color="auto"/>
                                <w:right w:val="none" w:sz="0" w:space="0" w:color="auto"/>
                              </w:divBdr>
                              <w:divsChild>
                                <w:div w:id="409667290">
                                  <w:marLeft w:val="0"/>
                                  <w:marRight w:val="0"/>
                                  <w:marTop w:val="0"/>
                                  <w:marBottom w:val="0"/>
                                  <w:divBdr>
                                    <w:top w:val="none" w:sz="0" w:space="0" w:color="auto"/>
                                    <w:left w:val="none" w:sz="0" w:space="0" w:color="auto"/>
                                    <w:bottom w:val="none" w:sz="0" w:space="0" w:color="auto"/>
                                    <w:right w:val="none" w:sz="0" w:space="0" w:color="auto"/>
                                  </w:divBdr>
                                  <w:divsChild>
                                    <w:div w:id="1245339625">
                                      <w:marLeft w:val="0"/>
                                      <w:marRight w:val="0"/>
                                      <w:marTop w:val="0"/>
                                      <w:marBottom w:val="0"/>
                                      <w:divBdr>
                                        <w:top w:val="none" w:sz="0" w:space="0" w:color="auto"/>
                                        <w:left w:val="none" w:sz="0" w:space="0" w:color="auto"/>
                                        <w:bottom w:val="single" w:sz="6" w:space="11" w:color="D0D0D0"/>
                                        <w:right w:val="none" w:sz="0" w:space="0" w:color="auto"/>
                                      </w:divBdr>
                                      <w:divsChild>
                                        <w:div w:id="1573271865">
                                          <w:marLeft w:val="0"/>
                                          <w:marRight w:val="0"/>
                                          <w:marTop w:val="0"/>
                                          <w:marBottom w:val="0"/>
                                          <w:divBdr>
                                            <w:top w:val="none" w:sz="0" w:space="0" w:color="auto"/>
                                            <w:left w:val="none" w:sz="0" w:space="0" w:color="auto"/>
                                            <w:bottom w:val="none" w:sz="0" w:space="0" w:color="auto"/>
                                            <w:right w:val="none" w:sz="0" w:space="0" w:color="auto"/>
                                          </w:divBdr>
                                          <w:divsChild>
                                            <w:div w:id="694232946">
                                              <w:marLeft w:val="0"/>
                                              <w:marRight w:val="225"/>
                                              <w:marTop w:val="0"/>
                                              <w:marBottom w:val="0"/>
                                              <w:divBdr>
                                                <w:top w:val="none" w:sz="0" w:space="0" w:color="auto"/>
                                                <w:left w:val="none" w:sz="0" w:space="0" w:color="auto"/>
                                                <w:bottom w:val="none" w:sz="0" w:space="0" w:color="auto"/>
                                                <w:right w:val="none" w:sz="0" w:space="0" w:color="auto"/>
                                              </w:divBdr>
                                              <w:divsChild>
                                                <w:div w:id="8502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unselorlibrary.com/utilities/?search=AK+Code+45.10.220" TargetMode="External"/><Relationship Id="rId1" Type="http://schemas.openxmlformats.org/officeDocument/2006/relationships/hyperlink" Target="http://www.counselorlibrary.com/utilities/?search=CT+Code+36a-7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439D-2EDB-4C70-8AFD-9F32399E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Brooks</dc:creator>
  <cp:lastModifiedBy>Melissa Holyoak</cp:lastModifiedBy>
  <cp:revision>28</cp:revision>
  <cp:lastPrinted>2022-02-14T22:56:00Z</cp:lastPrinted>
  <dcterms:created xsi:type="dcterms:W3CDTF">2022-03-25T00:48:00Z</dcterms:created>
  <dcterms:modified xsi:type="dcterms:W3CDTF">2022-03-25T05:00:00Z</dcterms:modified>
</cp:coreProperties>
</file>